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Conflict-of-Interest Policy</w:t>
      </w:r>
    </w:p>
    <w:p>
      <w:pPr>
        <w:spacing w:after="0" w:line="240" w:lineRule="auto"/>
        <w:jc w:val="left"/>
      </w:pPr>
      <w:r>
        <w:rPr>
          <w:i/>
          <w:color w:val="4B5563"/>
          <w:sz w:val="22"/>
        </w:rPr>
        <w:t>Civil fiduciary and related-party conflict identification, disclosure, recusal, review, and records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pPr>
              <w:spacing w:after="0" w:before="0" w:line="240" w:lineRule="auto"/>
            </w:pPr>
            <w:r/>
            <w:r>
              <w:rPr>
                <w:rFonts w:ascii="Aptos" w:hAnsi="Aptos"/>
                <w:b/>
                <w:sz w:val="18"/>
              </w:rPr>
              <w:t>Document ID</w:t>
            </w:r>
          </w:p>
        </w:tc>
        <w:tc>
          <w:tcPr>
            <w:tcW w:type="dxa" w:w="5083"/>
            <w:vAlign w:val="center"/>
          </w:tcPr>
          <w:p>
            <w:pPr>
              <w:spacing w:after="0" w:before="0" w:line="240" w:lineRule="auto"/>
            </w:pPr>
            <w:r/>
            <w:r>
              <w:rPr>
                <w:rFonts w:ascii="Aptos" w:hAnsi="Aptos"/>
                <w:b w:val="0"/>
                <w:sz w:val="18"/>
              </w:rPr>
              <w:t>CH-038</w:t>
            </w:r>
          </w:p>
        </w:tc>
      </w:tr>
      <w:tr>
        <w:tc>
          <w:tcPr>
            <w:tcW w:type="dxa" w:w="5083"/>
            <w:vAlign w:val="center"/>
            <w:shd w:fill="E5E7EB"/>
          </w:tcPr>
          <w:p>
            <w:pPr>
              <w:spacing w:after="0" w:before="0" w:line="240" w:lineRule="auto"/>
            </w:pPr>
            <w:r/>
            <w:r>
              <w:rPr>
                <w:rFonts w:ascii="Aptos" w:hAnsi="Aptos"/>
                <w:b/>
                <w:sz w:val="18"/>
              </w:rPr>
              <w:t>Version</w:t>
            </w:r>
          </w:p>
        </w:tc>
        <w:tc>
          <w:tcPr>
            <w:tcW w:type="dxa" w:w="5083"/>
            <w:vAlign w:val="center"/>
          </w:tcPr>
          <w:p>
            <w:pPr>
              <w:spacing w:after="0" w:before="0" w:line="240" w:lineRule="auto"/>
            </w:pPr>
            <w:r/>
            <w:r>
              <w:rPr>
                <w:rFonts w:ascii="Aptos" w:hAnsi="Aptos"/>
                <w:b w:val="0"/>
                <w:sz w:val="18"/>
              </w:rPr>
              <w:t>0.1.0</w:t>
            </w:r>
          </w:p>
        </w:tc>
      </w:tr>
      <w:tr>
        <w:tc>
          <w:tcPr>
            <w:tcW w:type="dxa" w:w="5083"/>
            <w:vAlign w:val="center"/>
            <w:shd w:fill="E5E7EB"/>
          </w:tcPr>
          <w:p>
            <w:pPr>
              <w:spacing w:after="0" w:before="0" w:line="240" w:lineRule="auto"/>
            </w:pPr>
            <w:r/>
            <w:r>
              <w:rPr>
                <w:rFonts w:ascii="Aptos" w:hAnsi="Aptos"/>
                <w:b/>
                <w:sz w:val="18"/>
              </w:rPr>
              <w:t>Status</w:t>
            </w:r>
          </w:p>
        </w:tc>
        <w:tc>
          <w:tcPr>
            <w:tcW w:type="dxa" w:w="5083"/>
            <w:vAlign w:val="center"/>
          </w:tcPr>
          <w:p>
            <w:pPr>
              <w:spacing w:after="0" w:before="0" w:line="240" w:lineRule="auto"/>
            </w:pPr>
            <w:r/>
            <w:r>
              <w:rPr>
                <w:rFonts w:ascii="Aptos" w:hAnsi="Aptos"/>
                <w:b w:val="0"/>
                <w:sz w:val="18"/>
              </w:rPr>
              <w:t>Provisional Working Draft</w:t>
            </w:r>
          </w:p>
        </w:tc>
      </w:tr>
      <w:tr>
        <w:tc>
          <w:tcPr>
            <w:tcW w:type="dxa" w:w="5083"/>
            <w:vAlign w:val="center"/>
            <w:shd w:fill="E5E7EB"/>
          </w:tcPr>
          <w:p>
            <w:pPr>
              <w:spacing w:after="0" w:before="0" w:line="240" w:lineRule="auto"/>
            </w:pPr>
            <w:r/>
            <w:r>
              <w:rPr>
                <w:rFonts w:ascii="Aptos" w:hAnsi="Aptos"/>
                <w:b/>
                <w:sz w:val="18"/>
              </w:rPr>
              <w:t>Entity</w:t>
            </w:r>
          </w:p>
        </w:tc>
        <w:tc>
          <w:tcPr>
            <w:tcW w:type="dxa" w:w="5083"/>
            <w:vAlign w:val="center"/>
          </w:tcPr>
          <w:p>
            <w:pPr>
              <w:spacing w:after="0" w:before="0" w:line="240" w:lineRule="auto"/>
            </w:pPr>
            <w:r/>
            <w:r>
              <w:rPr>
                <w:rFonts w:ascii="Aptos" w:hAnsi="Aptos"/>
                <w:b w:val="0"/>
                <w:sz w:val="18"/>
              </w:rPr>
              <w:t>[[CORP_NAME]]</w:t>
            </w:r>
          </w:p>
        </w:tc>
      </w:tr>
      <w:tr>
        <w:tc>
          <w:tcPr>
            <w:tcW w:type="dxa" w:w="5083"/>
            <w:vAlign w:val="center"/>
            <w:shd w:fill="E5E7EB"/>
          </w:tcPr>
          <w:p>
            <w:pPr>
              <w:spacing w:after="0" w:before="0" w:line="240" w:lineRule="auto"/>
            </w:pPr>
            <w:r/>
            <w:r>
              <w:rPr>
                <w:rFonts w:ascii="Aptos" w:hAnsi="Aptos"/>
                <w:b/>
                <w:sz w:val="18"/>
              </w:rPr>
              <w:t>Adoption</w:t>
            </w:r>
          </w:p>
        </w:tc>
        <w:tc>
          <w:tcPr>
            <w:tcW w:type="dxa" w:w="5083"/>
            <w:vAlign w:val="center"/>
          </w:tcPr>
          <w:p>
            <w:pPr>
              <w:spacing w:after="0" w:before="0" w:line="240" w:lineRule="auto"/>
            </w:pPr>
            <w:r/>
            <w:r>
              <w:rPr>
                <w:rFonts w:ascii="Aptos" w:hAnsi="Aptos"/>
                <w:b w:val="0"/>
                <w:sz w:val="18"/>
              </w:rPr>
              <w:t>Not effective until validly adopted</w:t>
            </w:r>
          </w:p>
        </w:tc>
      </w:tr>
    </w:tbl>
    <w:p>
      <w:pPr>
        <w:spacing w:after="0" w:line="240" w:lineRule="auto"/>
      </w:pPr>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Policy</w:t>
      </w:r>
    </w:p>
    <w:p>
      <w:pPr>
        <w:spacing w:after="0" w:line="240" w:lineRule="auto"/>
      </w:pPr>
      <w:r>
        <w:t>Persons entrusted with authority shall not use that authority to obtain improper personal benefit. A financial or relational interest does not automatically invalidate a transaction, but material interests must be disclosed and managed through a process capable of producing an independent, informed, and documented decision.</w:t>
      </w:r>
    </w:p>
    <w:p>
      <w:pPr>
        <w:pStyle w:val="Heading1"/>
      </w:pPr>
      <w:r>
        <w:t>Covered Persons</w:t>
      </w:r>
    </w:p>
    <w:p>
      <w:pPr>
        <w:pStyle w:val="ListBullet"/>
      </w:pPr>
      <w:r>
        <w:t>directors and officers</w:t>
      </w:r>
    </w:p>
    <w:p>
      <w:pPr>
        <w:pStyle w:val="ListBullet"/>
      </w:pPr>
      <w:r>
        <w:t>persons with substantial management authority</w:t>
      </w:r>
    </w:p>
    <w:p>
      <w:pPr>
        <w:pStyle w:val="ListBullet"/>
      </w:pPr>
      <w:r>
        <w:t>members of committees with delegated Board power</w:t>
      </w:r>
    </w:p>
    <w:p>
      <w:pPr>
        <w:pStyle w:val="ListBullet"/>
      </w:pPr>
      <w:r>
        <w:t>persons participating in compensation or transaction approval</w:t>
      </w:r>
    </w:p>
    <w:p>
      <w:pPr>
        <w:pStyle w:val="ListBullet"/>
      </w:pPr>
      <w:r>
        <w:t>the Founder and Presiding Spiritual Leader when involved in corporate transactions</w:t>
      </w:r>
    </w:p>
    <w:p>
      <w:pPr>
        <w:pStyle w:val="ListBullet"/>
      </w:pPr>
      <w:r>
        <w:t>family members and controlled entities where relevant to the transaction</w:t>
      </w:r>
    </w:p>
    <w:p>
      <w:pPr>
        <w:pStyle w:val="Heading1"/>
      </w:pPr>
      <w:r>
        <w:t>Potential Interests</w:t>
      </w:r>
    </w:p>
    <w:p>
      <w:pPr>
        <w:pStyle w:val="ListBullet"/>
      </w:pPr>
      <w:r>
        <w:t>ownership or investment interest in a contracting party</w:t>
      </w:r>
    </w:p>
    <w:p>
      <w:pPr>
        <w:pStyle w:val="ListBullet"/>
      </w:pPr>
      <w:r>
        <w:t>compensation arrangement with the organization or counterparty</w:t>
      </w:r>
    </w:p>
    <w:p>
      <w:pPr>
        <w:pStyle w:val="ListBullet"/>
      </w:pPr>
      <w:r>
        <w:t>family relationship</w:t>
      </w:r>
    </w:p>
    <w:p>
      <w:pPr>
        <w:pStyle w:val="ListBullet"/>
      </w:pPr>
      <w:r>
        <w:t>employment or supervisory dependency</w:t>
      </w:r>
    </w:p>
    <w:p>
      <w:pPr>
        <w:pStyle w:val="ListBullet"/>
      </w:pPr>
      <w:r>
        <w:t>significant donor or creditor relationship</w:t>
      </w:r>
    </w:p>
    <w:p>
      <w:pPr>
        <w:pStyle w:val="ListBullet"/>
      </w:pPr>
      <w:r>
        <w:t>gift, favor, loan, housing, travel, or other personal benefit</w:t>
      </w:r>
    </w:p>
    <w:p>
      <w:pPr>
        <w:pStyle w:val="ListBullet"/>
      </w:pPr>
      <w:r>
        <w:t>business opportunity or property interest affected by the decision</w:t>
      </w:r>
    </w:p>
    <w:p>
      <w:pPr>
        <w:pStyle w:val="Heading1"/>
      </w:pPr>
      <w:r>
        <w:t>Required Procedure</w:t>
      </w:r>
    </w:p>
    <w:p>
      <w:pPr>
        <w:pStyle w:val="ListNumber"/>
      </w:pPr>
      <w:r>
        <w:t>The covered person discloses the existence and material facts of the actual or potential conflict before deliberation.</w:t>
      </w:r>
    </w:p>
    <w:p>
      <w:pPr>
        <w:pStyle w:val="ListNumber"/>
      </w:pPr>
      <w:r>
        <w:t>The nonconflicted decision-makers determine whether a conflict exists and what safeguards are necessary.</w:t>
      </w:r>
    </w:p>
    <w:p>
      <w:pPr>
        <w:pStyle w:val="ListNumber"/>
      </w:pPr>
      <w:r>
        <w:t>The interested person may provide factual information when requested but shall not control the deliberation or vote.</w:t>
      </w:r>
    </w:p>
    <w:p>
      <w:pPr>
        <w:pStyle w:val="ListNumber"/>
      </w:pPr>
      <w:r>
        <w:t>The organization considers alternatives and obtains appropriate comparability or market information where relevant.</w:t>
      </w:r>
    </w:p>
    <w:p>
      <w:pPr>
        <w:pStyle w:val="ListNumber"/>
      </w:pPr>
      <w:r>
        <w:t>Disinterested decision-makers determine whether the transaction is fair, reasonable, in the organization's interests, and consistent with exempt purposes.</w:t>
      </w:r>
    </w:p>
    <w:p>
      <w:pPr>
        <w:pStyle w:val="ListNumber"/>
      </w:pPr>
      <w:r>
        <w:t>The minutes document the interest, persons present, recusal, alternatives, information reviewed, vote, and decision rationale.</w:t>
      </w:r>
    </w:p>
    <w:p>
      <w:pPr>
        <w:pStyle w:val="ListNumber"/>
      </w:pPr>
      <w:r>
        <w:t>Material violations of disclosure duties may result in corrective action or discipline.</w:t>
      </w:r>
    </w:p>
    <w:p>
      <w:pPr>
        <w:pStyle w:val="Heading1"/>
      </w:pPr>
      <w:r>
        <w:t>Annual Disclosure Form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0" w:before="0" w:line="240" w:lineRule="auto"/>
            </w:pPr>
            <w:r/>
            <w:r>
              <w:rPr>
                <w:rFonts w:ascii="Aptos" w:hAnsi="Aptos"/>
                <w:b/>
                <w:color w:val="FFFFFF"/>
                <w:sz w:val="18"/>
              </w:rPr>
              <w:t>Question</w:t>
            </w:r>
          </w:p>
        </w:tc>
        <w:tc>
          <w:tcPr>
            <w:tcW w:type="dxa" w:w="5083"/>
            <w:vAlign w:val="center"/>
            <w:shd w:fill="1F4E79"/>
          </w:tcPr>
          <w:p>
            <w:pPr>
              <w:spacing w:after="0" w:before="0" w:line="240" w:lineRule="auto"/>
            </w:pPr>
            <w:r/>
            <w:r>
              <w:rPr>
                <w:rFonts w:ascii="Aptos" w:hAnsi="Aptos"/>
                <w:b/>
                <w:color w:val="FFFFFF"/>
                <w:sz w:val="18"/>
              </w:rPr>
              <w:t>Response</w:t>
            </w:r>
          </w:p>
        </w:tc>
      </w:tr>
      <w:tr>
        <w:trPr>
          <w:cantSplit/>
        </w:trPr>
        <w:tc>
          <w:tcPr>
            <w:tcW w:type="dxa" w:w="5083"/>
            <w:vAlign w:val="center"/>
          </w:tcPr>
          <w:p>
            <w:pPr>
              <w:spacing w:after="0" w:before="0" w:line="240" w:lineRule="auto"/>
            </w:pPr>
            <w:r/>
            <w:r>
              <w:rPr>
                <w:rFonts w:ascii="Aptos" w:hAnsi="Aptos"/>
                <w:b w:val="0"/>
                <w:sz w:val="18"/>
              </w:rPr>
              <w:t>Do you or an immediate family member have an ownership or compensation interest in an entity that may transact with the organization?</w:t>
            </w:r>
          </w:p>
        </w:tc>
        <w:tc>
          <w:tcPr>
            <w:tcW w:type="dxa" w:w="5083"/>
            <w:vAlign w:val="center"/>
          </w:tcPr>
          <w:p>
            <w:pPr>
              <w:spacing w:after="0" w:before="0" w:line="240" w:lineRule="auto"/>
            </w:pPr>
            <w:r/>
            <w:r>
              <w:rPr>
                <w:rFonts w:ascii="Aptos" w:hAnsi="Aptos"/>
                <w:b w:val="0"/>
                <w:sz w:val="18"/>
              </w:rPr>
              <w:t>[[YES/NO - EXPLAIN]]</w:t>
            </w:r>
          </w:p>
        </w:tc>
      </w:tr>
      <w:tr>
        <w:trPr>
          <w:cantSplit/>
        </w:trPr>
        <w:tc>
          <w:tcPr>
            <w:tcW w:type="dxa" w:w="5083"/>
            <w:vAlign w:val="center"/>
          </w:tcPr>
          <w:p>
            <w:pPr>
              <w:spacing w:after="0" w:before="0" w:line="240" w:lineRule="auto"/>
            </w:pPr>
            <w:r/>
            <w:r>
              <w:rPr>
                <w:rFonts w:ascii="Aptos" w:hAnsi="Aptos"/>
                <w:b w:val="0"/>
                <w:sz w:val="18"/>
              </w:rPr>
              <w:t>Do you have a family, employment, creditor, landlord, tenant, or business relationship with another director/officer/key leader?</w:t>
            </w:r>
          </w:p>
        </w:tc>
        <w:tc>
          <w:tcPr>
            <w:tcW w:type="dxa" w:w="5083"/>
            <w:vAlign w:val="center"/>
          </w:tcPr>
          <w:p>
            <w:pPr>
              <w:spacing w:after="0" w:before="0" w:line="240" w:lineRule="auto"/>
            </w:pPr>
            <w:r/>
            <w:r>
              <w:rPr>
                <w:rFonts w:ascii="Aptos" w:hAnsi="Aptos"/>
                <w:b w:val="0"/>
                <w:sz w:val="18"/>
              </w:rPr>
              <w:t>[[YES/NO - EXPLAIN]]</w:t>
            </w:r>
          </w:p>
        </w:tc>
      </w:tr>
      <w:tr>
        <w:trPr>
          <w:cantSplit/>
        </w:trPr>
        <w:tc>
          <w:tcPr>
            <w:tcW w:type="dxa" w:w="5083"/>
            <w:vAlign w:val="center"/>
          </w:tcPr>
          <w:p>
            <w:pPr>
              <w:spacing w:after="0" w:before="0" w:line="240" w:lineRule="auto"/>
            </w:pPr>
            <w:r/>
            <w:r>
              <w:rPr>
                <w:rFonts w:ascii="Aptos" w:hAnsi="Aptos"/>
                <w:b w:val="0"/>
                <w:sz w:val="18"/>
              </w:rPr>
              <w:t>Have you received a material gift, favor, loan, travel benefit, or other benefit connected to organizational business?</w:t>
            </w:r>
          </w:p>
        </w:tc>
        <w:tc>
          <w:tcPr>
            <w:tcW w:type="dxa" w:w="5083"/>
            <w:vAlign w:val="center"/>
          </w:tcPr>
          <w:p>
            <w:pPr>
              <w:spacing w:after="0" w:before="0" w:line="240" w:lineRule="auto"/>
            </w:pPr>
            <w:r/>
            <w:r>
              <w:rPr>
                <w:rFonts w:ascii="Aptos" w:hAnsi="Aptos"/>
                <w:b w:val="0"/>
                <w:sz w:val="18"/>
              </w:rPr>
              <w:t>[[YES/NO - EXPLAIN]]</w:t>
            </w:r>
          </w:p>
        </w:tc>
      </w:tr>
      <w:tr>
        <w:trPr>
          <w:cantSplit/>
        </w:trPr>
        <w:tc>
          <w:tcPr>
            <w:tcW w:type="dxa" w:w="5083"/>
            <w:vAlign w:val="center"/>
          </w:tcPr>
          <w:p>
            <w:pPr>
              <w:spacing w:after="0" w:before="0" w:line="240" w:lineRule="auto"/>
            </w:pPr>
            <w:r/>
            <w:r>
              <w:rPr>
                <w:rFonts w:ascii="Aptos" w:hAnsi="Aptos"/>
                <w:b w:val="0"/>
                <w:sz w:val="18"/>
              </w:rPr>
              <w:t>Do you control or materially influence another organization that may transact or collaborate with [[CORP_NAME]]?</w:t>
            </w:r>
          </w:p>
        </w:tc>
        <w:tc>
          <w:tcPr>
            <w:tcW w:type="dxa" w:w="5083"/>
            <w:vAlign w:val="center"/>
          </w:tcPr>
          <w:p>
            <w:pPr>
              <w:spacing w:after="0" w:before="0" w:line="240" w:lineRule="auto"/>
            </w:pPr>
            <w:r/>
            <w:r>
              <w:rPr>
                <w:rFonts w:ascii="Aptos" w:hAnsi="Aptos"/>
                <w:b w:val="0"/>
                <w:sz w:val="18"/>
              </w:rPr>
              <w:t>[[YES/NO - EXPLAIN]]</w:t>
            </w:r>
          </w:p>
        </w:tc>
      </w:tr>
      <w:tr>
        <w:trPr>
          <w:cantSplit/>
        </w:trPr>
        <w:tc>
          <w:tcPr>
            <w:tcW w:type="dxa" w:w="5083"/>
            <w:vAlign w:val="center"/>
          </w:tcPr>
          <w:p>
            <w:pPr>
              <w:spacing w:after="0" w:before="0" w:line="240" w:lineRule="auto"/>
            </w:pPr>
            <w:r/>
            <w:r>
              <w:rPr>
                <w:rFonts w:ascii="Aptos" w:hAnsi="Aptos"/>
                <w:b w:val="0"/>
                <w:sz w:val="18"/>
              </w:rPr>
              <w:t>Other circumstances that could reasonably appear to affect impartial judgment?</w:t>
            </w:r>
          </w:p>
        </w:tc>
        <w:tc>
          <w:tcPr>
            <w:tcW w:type="dxa" w:w="5083"/>
            <w:vAlign w:val="center"/>
          </w:tcPr>
          <w:p>
            <w:pPr>
              <w:spacing w:after="0" w:before="0" w:line="240" w:lineRule="auto"/>
            </w:pPr>
            <w:r/>
            <w:r>
              <w:rPr>
                <w:rFonts w:ascii="Aptos" w:hAnsi="Aptos"/>
                <w:b w:val="0"/>
                <w:sz w:val="18"/>
              </w:rPr>
              <w:t>[[YES/NO - EXPLAIN]]</w:t>
            </w:r>
          </w:p>
        </w:tc>
      </w:tr>
    </w:tbl>
    <w:p>
      <w:pPr>
        <w:pStyle w:val="Heading1"/>
      </w:pPr>
      <w:r>
        <w:t>Tennessee and Federal Alignment</w:t>
      </w:r>
    </w:p>
    <w:p>
      <w:pPr>
        <w:spacing w:after="0" w:line="240" w:lineRule="auto"/>
      </w:pPr>
      <w:r>
        <w:t>Tennessee nonprofit law imposes director duties of good faith, ordinary prudence under similar circumstances, and action reasonably believed to be in the corporation's best interests. Tennessee law also provides a statutory framework for conflicting-interest transactions. Current IRS Form 1023 instructions do not require adoption of a conflict policy as a condition of exemption, but specifically ask about conflicts and provide a sample policy because formal procedures reduce the risk of inappropriate private benefit.</w:t>
      </w:r>
    </w:p>
    <w:p>
      <w:pPr>
        <w:pStyle w:val="Heading1"/>
      </w:pPr>
      <w:r>
        <w:t>Current Legal and Administrative References</w:t>
      </w:r>
    </w:p>
    <w:p>
      <w:pPr>
        <w:spacing w:after="0" w:line="240" w:lineRule="auto"/>
      </w:pPr>
      <w:r>
        <w:rPr>
          <w:b/>
        </w:rPr>
        <w:t xml:space="preserve">IRS Form 1023 Instructions: </w:t>
      </w:r>
      <w:r>
        <w:t>https://www.irs.gov/instructions/i1023</w:t>
      </w:r>
    </w:p>
    <w:p>
      <w:pPr>
        <w:spacing w:after="0" w:line="240" w:lineRule="auto"/>
      </w:pPr>
      <w:r>
        <w:rPr>
          <w:b/>
        </w:rPr>
        <w:t xml:space="preserve">Tennessee director standards: </w:t>
      </w:r>
      <w:r>
        <w:t>https://law.justia.com/codes/tennessee/title-48/nonprofit-corporations/chapter-58/part-3/section-48-58-301/</w:t>
      </w:r>
    </w:p>
    <w:p>
      <w:pPr>
        <w:spacing w:after="0" w:line="240" w:lineRule="auto"/>
      </w:pPr>
      <w:r>
        <w:rPr>
          <w:b/>
        </w:rPr>
        <w:t xml:space="preserve">Tennessee conflicting-interest transactions: </w:t>
      </w:r>
      <w:r>
        <w:t>https://law.justia.com/codes/tennessee/title-48/nonprofit-corporations/chapter-58/part-7/section-48-58-702/</w:t>
      </w:r>
    </w:p>
    <w:p>
      <w:pPr>
        <w:pStyle w:val="Heading1"/>
      </w:pPr>
      <w:r>
        <w:t>Adoption and Certification</w:t>
      </w:r>
    </w:p>
    <w:p>
      <w:pPr>
        <w:spacing w:after="0" w:line="240" w:lineRule="auto"/>
      </w:pPr>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pPr>
              <w:spacing w:after="0" w:before="0" w:line="240" w:lineRule="auto"/>
            </w:pPr>
            <w:r/>
            <w:r>
              <w:rPr>
                <w:rFonts w:ascii="Aptos" w:hAnsi="Aptos"/>
                <w:b/>
                <w:color w:val="FFFFFF"/>
                <w:sz w:val="18"/>
              </w:rPr>
              <w:t>Field</w:t>
            </w:r>
          </w:p>
        </w:tc>
        <w:tc>
          <w:tcPr>
            <w:tcW w:type="dxa" w:w="6480"/>
            <w:vAlign w:val="center"/>
            <w:shd w:fill="1F4E79"/>
          </w:tcPr>
          <w:p>
            <w:pPr>
              <w:spacing w:after="0" w:before="0" w:line="240" w:lineRule="auto"/>
            </w:pPr>
            <w:r/>
            <w:r>
              <w:rPr>
                <w:rFonts w:ascii="Aptos" w:hAnsi="Aptos"/>
                <w:b/>
                <w:color w:val="FFFFFF"/>
                <w:sz w:val="18"/>
              </w:rPr>
              <w:t>Entry</w:t>
            </w:r>
          </w:p>
        </w:tc>
      </w:tr>
      <w:tr>
        <w:trPr>
          <w:cantSplit/>
        </w:trPr>
        <w:tc>
          <w:tcPr>
            <w:tcW w:type="dxa" w:w="2880"/>
            <w:vAlign w:val="center"/>
          </w:tcPr>
          <w:p>
            <w:pPr>
              <w:spacing w:after="0" w:before="0" w:line="240" w:lineRule="auto"/>
            </w:pPr>
            <w:r/>
            <w:r>
              <w:rPr>
                <w:rFonts w:ascii="Aptos" w:hAnsi="Aptos"/>
                <w:b w:val="0"/>
                <w:sz w:val="18"/>
              </w:rPr>
              <w:t>Organization</w:t>
            </w:r>
          </w:p>
        </w:tc>
        <w:tc>
          <w:tcPr>
            <w:tcW w:type="dxa" w:w="6480"/>
            <w:vAlign w:val="center"/>
          </w:tcPr>
          <w:p>
            <w:pPr>
              <w:spacing w:after="0" w:before="0" w:line="240" w:lineRule="auto"/>
            </w:pPr>
            <w:r/>
            <w:r>
              <w:rPr>
                <w:rFonts w:ascii="Aptos" w:hAnsi="Aptos"/>
                <w:b w:val="0"/>
                <w:sz w:val="18"/>
              </w:rPr>
              <w:t>[[CORP_NAME]]</w:t>
            </w:r>
          </w:p>
        </w:tc>
      </w:tr>
      <w:tr>
        <w:trPr>
          <w:cantSplit/>
        </w:trPr>
        <w:tc>
          <w:tcPr>
            <w:tcW w:type="dxa" w:w="2880"/>
            <w:vAlign w:val="center"/>
          </w:tcPr>
          <w:p>
            <w:pPr>
              <w:spacing w:after="0" w:before="0" w:line="240" w:lineRule="auto"/>
            </w:pPr>
            <w:r/>
            <w:r>
              <w:rPr>
                <w:rFonts w:ascii="Aptos" w:hAnsi="Aptos"/>
                <w:b w:val="0"/>
                <w:sz w:val="18"/>
              </w:rPr>
              <w:t>Date of Adoption</w:t>
            </w:r>
          </w:p>
        </w:tc>
        <w:tc>
          <w:tcPr>
            <w:tcW w:type="dxa" w:w="6480"/>
            <w:vAlign w:val="center"/>
          </w:tcPr>
          <w:p>
            <w:pPr>
              <w:spacing w:after="0" w:before="0" w:line="240" w:lineRule="auto"/>
            </w:pPr>
            <w:r/>
            <w:r>
              <w:rPr>
                <w:rFonts w:ascii="Aptos" w:hAnsi="Aptos"/>
                <w:b w:val="0"/>
                <w:sz w:val="18"/>
              </w:rPr>
              <w:t>[[DATE]]</w:t>
            </w:r>
          </w:p>
        </w:tc>
      </w:tr>
      <w:tr>
        <w:trPr>
          <w:cantSplit/>
        </w:trPr>
        <w:tc>
          <w:tcPr>
            <w:tcW w:type="dxa" w:w="2880"/>
            <w:vAlign w:val="center"/>
          </w:tcPr>
          <w:p>
            <w:pPr>
              <w:spacing w:after="0" w:before="0" w:line="240" w:lineRule="auto"/>
            </w:pPr>
            <w:r/>
            <w:r>
              <w:rPr>
                <w:rFonts w:ascii="Aptos" w:hAnsi="Aptos"/>
                <w:b w:val="0"/>
                <w:sz w:val="18"/>
              </w:rPr>
              <w:t>Adopting Authority</w:t>
            </w:r>
          </w:p>
        </w:tc>
        <w:tc>
          <w:tcPr>
            <w:tcW w:type="dxa" w:w="6480"/>
            <w:vAlign w:val="center"/>
          </w:tcPr>
          <w:p>
            <w:pPr>
              <w:spacing w:after="0" w:before="0" w:line="240" w:lineRule="auto"/>
            </w:pPr>
            <w:r/>
            <w:r>
              <w:rPr>
                <w:rFonts w:ascii="Aptos" w:hAnsi="Aptos"/>
                <w:b w:val="0"/>
                <w:sz w:val="18"/>
              </w:rPr>
              <w:t>Civil Board of Directors</w:t>
            </w:r>
          </w:p>
        </w:tc>
      </w:tr>
      <w:tr>
        <w:trPr>
          <w:cantSplit/>
        </w:trPr>
        <w:tc>
          <w:tcPr>
            <w:tcW w:type="dxa" w:w="2880"/>
            <w:vAlign w:val="center"/>
          </w:tcPr>
          <w:p>
            <w:pPr>
              <w:spacing w:after="0" w:before="0" w:line="240" w:lineRule="auto"/>
            </w:pPr>
            <w:r/>
            <w:r>
              <w:rPr>
                <w:rFonts w:ascii="Aptos" w:hAnsi="Aptos"/>
                <w:b w:val="0"/>
                <w:sz w:val="18"/>
              </w:rPr>
              <w:t>Approval / Resolution</w:t>
            </w:r>
          </w:p>
        </w:tc>
        <w:tc>
          <w:tcPr>
            <w:tcW w:type="dxa" w:w="6480"/>
            <w:vAlign w:val="center"/>
          </w:tcPr>
          <w:p>
            <w:pPr>
              <w:spacing w:after="0" w:before="0" w:line="240" w:lineRule="auto"/>
            </w:pPr>
            <w:r/>
            <w:r>
              <w:rPr>
                <w:rFonts w:ascii="Aptos" w:hAnsi="Aptos"/>
                <w:b w:val="0"/>
                <w:sz w:val="18"/>
              </w:rPr>
              <w:t>[[APPROVAL_RECORD]]</w:t>
            </w:r>
          </w:p>
        </w:tc>
      </w:tr>
      <w:tr>
        <w:tc>
          <w:tcPr>
            <w:tcW w:type="dxa" w:w="5083"/>
          </w:tcPr>
          <w:p>
            <w:r>
              <w:t>Certification / Signature</w:t>
            </w:r>
          </w:p>
        </w:tc>
        <w:tc>
          <w:tcPr>
            <w:tcW w:type="dxa" w:w="5083"/>
          </w:tcPr>
          <w:p>
            <w:r>
              <w:t>[[NAME / OFFICE]]  [[DATE]]</w:t>
            </w:r>
          </w:p>
        </w:tc>
      </w:tr>
    </w:tbl>
    <w:sectPr w:rsidR="00FC693F" w:rsidRPr="0006063C" w:rsidSect="00034616">
      <w:headerReference w:type="default" r:id="rId9"/>
      <w:footerReference w:type="default" r:id="rId10"/>
      <w:pgSz w:w="12240" w:h="15840"/>
      <w:pgMar w:top="792" w:right="1037" w:bottom="64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CH-038  |  Conflict-of-Interest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