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Financial Controls Policy</w:t>
      </w:r>
    </w:p>
    <w:p>
      <w:pPr>
        <w:jc w:val="left"/>
      </w:pPr>
      <w:r>
        <w:rPr>
          <w:i/>
          <w:color w:val="4B5563"/>
          <w:sz w:val="22"/>
        </w:rPr>
        <w:t>Banking, authorization, cash handling, payments, reconciliation, restricted funds, and continuity controls</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r/>
            <w:r>
              <w:rPr>
                <w:rFonts w:ascii="Aptos" w:hAnsi="Aptos"/>
                <w:b/>
                <w:sz w:val="18"/>
              </w:rPr>
              <w:t>Document ID</w:t>
            </w:r>
          </w:p>
        </w:tc>
        <w:tc>
          <w:tcPr>
            <w:tcW w:type="dxa" w:w="5083"/>
            <w:vAlign w:val="center"/>
          </w:tcPr>
          <w:p>
            <w:r/>
            <w:r>
              <w:rPr>
                <w:rFonts w:ascii="Aptos" w:hAnsi="Aptos"/>
                <w:b w:val="0"/>
                <w:sz w:val="18"/>
              </w:rPr>
              <w:t>CH-040</w:t>
            </w:r>
          </w:p>
        </w:tc>
      </w:tr>
      <w:tr>
        <w:tc>
          <w:tcPr>
            <w:tcW w:type="dxa" w:w="5083"/>
            <w:vAlign w:val="center"/>
            <w:shd w:fill="E5E7EB"/>
          </w:tcPr>
          <w:p>
            <w:r/>
            <w:r>
              <w:rPr>
                <w:rFonts w:ascii="Aptos" w:hAnsi="Aptos"/>
                <w:b/>
                <w:sz w:val="18"/>
              </w:rPr>
              <w:t>Version</w:t>
            </w:r>
          </w:p>
        </w:tc>
        <w:tc>
          <w:tcPr>
            <w:tcW w:type="dxa" w:w="5083"/>
            <w:vAlign w:val="center"/>
          </w:tcPr>
          <w:p>
            <w:r/>
            <w:r>
              <w:rPr>
                <w:rFonts w:ascii="Aptos" w:hAnsi="Aptos"/>
                <w:b w:val="0"/>
                <w:sz w:val="18"/>
              </w:rPr>
              <w:t>0.1.0</w:t>
            </w:r>
          </w:p>
        </w:tc>
      </w:tr>
      <w:tr>
        <w:tc>
          <w:tcPr>
            <w:tcW w:type="dxa" w:w="5083"/>
            <w:vAlign w:val="center"/>
            <w:shd w:fill="E5E7EB"/>
          </w:tcPr>
          <w:p>
            <w:r/>
            <w:r>
              <w:rPr>
                <w:rFonts w:ascii="Aptos" w:hAnsi="Aptos"/>
                <w:b/>
                <w:sz w:val="18"/>
              </w:rPr>
              <w:t>Status</w:t>
            </w:r>
          </w:p>
        </w:tc>
        <w:tc>
          <w:tcPr>
            <w:tcW w:type="dxa" w:w="5083"/>
            <w:vAlign w:val="center"/>
          </w:tcPr>
          <w:p>
            <w:r/>
            <w:r>
              <w:rPr>
                <w:rFonts w:ascii="Aptos" w:hAnsi="Aptos"/>
                <w:b w:val="0"/>
                <w:sz w:val="18"/>
              </w:rPr>
              <w:t>Provisional Working Draft</w:t>
            </w:r>
          </w:p>
        </w:tc>
      </w:tr>
      <w:tr>
        <w:tc>
          <w:tcPr>
            <w:tcW w:type="dxa" w:w="5083"/>
            <w:vAlign w:val="center"/>
            <w:shd w:fill="E5E7EB"/>
          </w:tcPr>
          <w:p>
            <w:r/>
            <w:r>
              <w:rPr>
                <w:rFonts w:ascii="Aptos" w:hAnsi="Aptos"/>
                <w:b/>
                <w:sz w:val="18"/>
              </w:rPr>
              <w:t>Entity</w:t>
            </w:r>
          </w:p>
        </w:tc>
        <w:tc>
          <w:tcPr>
            <w:tcW w:type="dxa" w:w="5083"/>
            <w:vAlign w:val="center"/>
          </w:tcPr>
          <w:p>
            <w:r/>
            <w:r>
              <w:rPr>
                <w:rFonts w:ascii="Aptos" w:hAnsi="Aptos"/>
                <w:b w:val="0"/>
                <w:sz w:val="18"/>
              </w:rPr>
              <w:t>[[CORP_NAME]]</w:t>
            </w:r>
          </w:p>
        </w:tc>
      </w:tr>
      <w:tr>
        <w:tc>
          <w:tcPr>
            <w:tcW w:type="dxa" w:w="5083"/>
            <w:vAlign w:val="center"/>
            <w:shd w:fill="E5E7EB"/>
          </w:tcPr>
          <w:p>
            <w:r/>
            <w:r>
              <w:rPr>
                <w:rFonts w:ascii="Aptos" w:hAnsi="Aptos"/>
                <w:b/>
                <w:sz w:val="18"/>
              </w:rPr>
              <w:t>Adoption</w:t>
            </w:r>
          </w:p>
        </w:tc>
        <w:tc>
          <w:tcPr>
            <w:tcW w:type="dxa" w:w="5083"/>
            <w:vAlign w:val="center"/>
          </w:tcPr>
          <w:p>
            <w:r/>
            <w:r>
              <w:rPr>
                <w:rFonts w:ascii="Aptos" w:hAnsi="Aptos"/>
                <w:b w:val="0"/>
                <w:sz w:val="18"/>
              </w:rPr>
              <w:t>Not effective until validly adopted</w:t>
            </w:r>
          </w:p>
        </w:tc>
      </w:tr>
    </w:tbl>
    <w:p>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Core Standard</w:t>
      </w:r>
    </w:p>
    <w:p>
      <w:r>
        <w:t>No single individual should control authorization, custody, recordkeeping, and reconciliation of material organizational funds without compensating independent review. Financial controls apply to founders, clergy, directors, employees, contractors, volunteers, and all organizational accounts.</w:t>
      </w:r>
    </w:p>
    <w:p>
      <w:pPr>
        <w:pStyle w:val="Heading1"/>
      </w:pPr>
      <w:r>
        <w:t>Minimum Controls</w:t>
      </w:r>
    </w:p>
    <w:p>
      <w:pPr>
        <w:pStyle w:val="ListBullet"/>
      </w:pPr>
      <w:r>
        <w:t>All organizational funds flow through accounts titled to the organization; personal-account commingling is prohibited.</w:t>
      </w:r>
    </w:p>
    <w:p>
      <w:pPr>
        <w:pStyle w:val="ListBullet"/>
      </w:pPr>
      <w:r>
        <w:t>Bank signers and online users are approved and periodically reviewed.</w:t>
      </w:r>
    </w:p>
    <w:p>
      <w:pPr>
        <w:pStyle w:val="ListBullet"/>
      </w:pPr>
      <w:r>
        <w:t>Every disbursement has a documented exempt-purpose business reason and supporting evidence.</w:t>
      </w:r>
    </w:p>
    <w:p>
      <w:pPr>
        <w:pStyle w:val="ListBullet"/>
      </w:pPr>
      <w:r>
        <w:t>Approval authority is defined by amount and transaction type.</w:t>
      </w:r>
    </w:p>
    <w:p>
      <w:pPr>
        <w:pStyle w:val="ListBullet"/>
      </w:pPr>
      <w:r>
        <w:t>Restricted gifts are coded and tracked separately from unrestricted funds.</w:t>
      </w:r>
    </w:p>
    <w:p>
      <w:pPr>
        <w:pStyle w:val="ListBullet"/>
      </w:pPr>
      <w:r>
        <w:t>Bank and processor accounts are reconciled at least monthly.</w:t>
      </w:r>
    </w:p>
    <w:p>
      <w:pPr>
        <w:pStyle w:val="ListBullet"/>
      </w:pPr>
      <w:r>
        <w:t>The reconciler should not be the sole person initiating and approving the same transactions; where staffing is small, an independent director reviews reconciliations and statements.</w:t>
      </w:r>
    </w:p>
    <w:p>
      <w:pPr>
        <w:pStyle w:val="ListBullet"/>
      </w:pPr>
      <w:r>
        <w:t>Changes to bank credentials, payment platforms, and privileged financial-system access are logged.</w:t>
      </w:r>
    </w:p>
    <w:p>
      <w:pPr>
        <w:pStyle w:val="ListBullet"/>
      </w:pPr>
      <w:r>
        <w:t>Cash offerings use count sheets and dual custody/review where feasible.</w:t>
      </w:r>
    </w:p>
    <w:p>
      <w:pPr>
        <w:pStyle w:val="ListBullet"/>
      </w:pPr>
      <w:r>
        <w:t>Related-party, compensation, debt, property, and major-contract transactions receive enhanced review.</w:t>
      </w:r>
    </w:p>
    <w:p>
      <w:pPr>
        <w:pStyle w:val="Heading1"/>
      </w:pPr>
      <w:r>
        <w:t>Initial Financial Authority Schedule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vAlign w:val="center"/>
            <w:shd w:fill="1F4E79"/>
          </w:tcPr>
          <w:p>
            <w:r/>
            <w:r>
              <w:rPr>
                <w:rFonts w:ascii="Aptos" w:hAnsi="Aptos"/>
                <w:b/>
                <w:color w:val="FFFFFF"/>
                <w:sz w:val="18"/>
              </w:rPr>
              <w:t>Transaction</w:t>
            </w:r>
          </w:p>
        </w:tc>
        <w:tc>
          <w:tcPr>
            <w:tcW w:type="dxa" w:w="2033"/>
            <w:vAlign w:val="center"/>
            <w:shd w:fill="1F4E79"/>
          </w:tcPr>
          <w:p>
            <w:r/>
            <w:r>
              <w:rPr>
                <w:rFonts w:ascii="Aptos" w:hAnsi="Aptos"/>
                <w:b/>
                <w:color w:val="FFFFFF"/>
                <w:sz w:val="18"/>
              </w:rPr>
              <w:t>Initiation</w:t>
            </w:r>
          </w:p>
        </w:tc>
        <w:tc>
          <w:tcPr>
            <w:tcW w:type="dxa" w:w="2033"/>
            <w:vAlign w:val="center"/>
            <w:shd w:fill="1F4E79"/>
          </w:tcPr>
          <w:p>
            <w:r/>
            <w:r>
              <w:rPr>
                <w:rFonts w:ascii="Aptos" w:hAnsi="Aptos"/>
                <w:b/>
                <w:color w:val="FFFFFF"/>
                <w:sz w:val="18"/>
              </w:rPr>
              <w:t>Approval</w:t>
            </w:r>
          </w:p>
        </w:tc>
        <w:tc>
          <w:tcPr>
            <w:tcW w:type="dxa" w:w="2033"/>
            <w:vAlign w:val="center"/>
            <w:shd w:fill="1F4E79"/>
          </w:tcPr>
          <w:p>
            <w:r/>
            <w:r>
              <w:rPr>
                <w:rFonts w:ascii="Aptos" w:hAnsi="Aptos"/>
                <w:b/>
                <w:color w:val="FFFFFF"/>
                <w:sz w:val="18"/>
              </w:rPr>
              <w:t>Second Approval / Board</w:t>
            </w:r>
          </w:p>
        </w:tc>
        <w:tc>
          <w:tcPr>
            <w:tcW w:type="dxa" w:w="2033"/>
            <w:vAlign w:val="center"/>
            <w:shd w:fill="1F4E79"/>
          </w:tcPr>
          <w:p>
            <w:r/>
            <w:r>
              <w:rPr>
                <w:rFonts w:ascii="Aptos" w:hAnsi="Aptos"/>
                <w:b/>
                <w:color w:val="FFFFFF"/>
                <w:sz w:val="18"/>
              </w:rPr>
              <w:t>Documentation</w:t>
            </w:r>
          </w:p>
        </w:tc>
      </w:tr>
      <w:tr>
        <w:trPr>
          <w:cantSplit/>
        </w:trPr>
        <w:tc>
          <w:tcPr>
            <w:tcW w:type="dxa" w:w="2033"/>
            <w:vAlign w:val="center"/>
          </w:tcPr>
          <w:p>
            <w:r/>
            <w:r>
              <w:rPr>
                <w:rFonts w:ascii="Aptos" w:hAnsi="Aptos"/>
                <w:b w:val="0"/>
                <w:sz w:val="18"/>
              </w:rPr>
              <w:t>Routine budgeted expense &lt;= [[T1]]</w:t>
            </w:r>
          </w:p>
        </w:tc>
        <w:tc>
          <w:tcPr>
            <w:tcW w:type="dxa" w:w="2033"/>
            <w:vAlign w:val="center"/>
          </w:tcPr>
          <w:p>
            <w:r/>
            <w:r>
              <w:rPr>
                <w:rFonts w:ascii="Aptos" w:hAnsi="Aptos"/>
                <w:b w:val="0"/>
                <w:sz w:val="18"/>
              </w:rPr>
              <w:t>Authorized operator</w:t>
            </w:r>
          </w:p>
        </w:tc>
        <w:tc>
          <w:tcPr>
            <w:tcW w:type="dxa" w:w="2033"/>
            <w:vAlign w:val="center"/>
          </w:tcPr>
          <w:p>
            <w:r/>
            <w:r>
              <w:rPr>
                <w:rFonts w:ascii="Aptos" w:hAnsi="Aptos"/>
                <w:b w:val="0"/>
                <w:sz w:val="18"/>
              </w:rPr>
              <w:t>[[ROLE]]</w:t>
            </w:r>
          </w:p>
        </w:tc>
        <w:tc>
          <w:tcPr>
            <w:tcW w:type="dxa" w:w="2033"/>
            <w:vAlign w:val="center"/>
          </w:tcPr>
          <w:p>
            <w:r/>
            <w:r>
              <w:rPr>
                <w:rFonts w:ascii="Aptos" w:hAnsi="Aptos"/>
                <w:b w:val="0"/>
                <w:sz w:val="18"/>
              </w:rPr>
              <w:t>As required by policy</w:t>
            </w:r>
          </w:p>
        </w:tc>
        <w:tc>
          <w:tcPr>
            <w:tcW w:type="dxa" w:w="2033"/>
            <w:vAlign w:val="center"/>
          </w:tcPr>
          <w:p>
            <w:r/>
            <w:r>
              <w:rPr>
                <w:rFonts w:ascii="Aptos" w:hAnsi="Aptos"/>
                <w:b w:val="0"/>
                <w:sz w:val="18"/>
              </w:rPr>
              <w:t>Invoice / receipt + purpose</w:t>
            </w:r>
          </w:p>
        </w:tc>
      </w:tr>
      <w:tr>
        <w:trPr>
          <w:cantSplit/>
        </w:trPr>
        <w:tc>
          <w:tcPr>
            <w:tcW w:type="dxa" w:w="2033"/>
            <w:vAlign w:val="center"/>
          </w:tcPr>
          <w:p>
            <w:r/>
            <w:r>
              <w:rPr>
                <w:rFonts w:ascii="Aptos" w:hAnsi="Aptos"/>
                <w:b w:val="0"/>
                <w:sz w:val="18"/>
              </w:rPr>
              <w:t>Expense &gt; [[T1]] to [[T2]]</w:t>
            </w:r>
          </w:p>
        </w:tc>
        <w:tc>
          <w:tcPr>
            <w:tcW w:type="dxa" w:w="2033"/>
            <w:vAlign w:val="center"/>
          </w:tcPr>
          <w:p>
            <w:r/>
            <w:r>
              <w:rPr>
                <w:rFonts w:ascii="Aptos" w:hAnsi="Aptos"/>
                <w:b w:val="0"/>
                <w:sz w:val="18"/>
              </w:rPr>
              <w:t>Authorized operator</w:t>
            </w:r>
          </w:p>
        </w:tc>
        <w:tc>
          <w:tcPr>
            <w:tcW w:type="dxa" w:w="2033"/>
            <w:vAlign w:val="center"/>
          </w:tcPr>
          <w:p>
            <w:r/>
            <w:r>
              <w:rPr>
                <w:rFonts w:ascii="Aptos" w:hAnsi="Aptos"/>
                <w:b w:val="0"/>
                <w:sz w:val="18"/>
              </w:rPr>
              <w:t>[[ROLE]]</w:t>
            </w:r>
          </w:p>
        </w:tc>
        <w:tc>
          <w:tcPr>
            <w:tcW w:type="dxa" w:w="2033"/>
            <w:vAlign w:val="center"/>
          </w:tcPr>
          <w:p>
            <w:r/>
            <w:r>
              <w:rPr>
                <w:rFonts w:ascii="Aptos" w:hAnsi="Aptos"/>
                <w:b w:val="0"/>
                <w:sz w:val="18"/>
              </w:rPr>
              <w:t>[[SECOND APPROVER]]</w:t>
            </w:r>
          </w:p>
        </w:tc>
        <w:tc>
          <w:tcPr>
            <w:tcW w:type="dxa" w:w="2033"/>
            <w:vAlign w:val="center"/>
          </w:tcPr>
          <w:p>
            <w:r/>
            <w:r>
              <w:rPr>
                <w:rFonts w:ascii="Aptos" w:hAnsi="Aptos"/>
                <w:b w:val="0"/>
                <w:sz w:val="18"/>
              </w:rPr>
              <w:t>Invoice + approval record</w:t>
            </w:r>
          </w:p>
        </w:tc>
      </w:tr>
      <w:tr>
        <w:trPr>
          <w:cantSplit/>
        </w:trPr>
        <w:tc>
          <w:tcPr>
            <w:tcW w:type="dxa" w:w="2033"/>
            <w:vAlign w:val="center"/>
          </w:tcPr>
          <w:p>
            <w:r/>
            <w:r>
              <w:rPr>
                <w:rFonts w:ascii="Aptos" w:hAnsi="Aptos"/>
                <w:b w:val="0"/>
                <w:sz w:val="18"/>
              </w:rPr>
              <w:t>Expense &gt; [[T2]]</w:t>
            </w:r>
          </w:p>
        </w:tc>
        <w:tc>
          <w:tcPr>
            <w:tcW w:type="dxa" w:w="2033"/>
            <w:vAlign w:val="center"/>
          </w:tcPr>
          <w:p>
            <w:r/>
            <w:r>
              <w:rPr>
                <w:rFonts w:ascii="Aptos" w:hAnsi="Aptos"/>
                <w:b w:val="0"/>
                <w:sz w:val="18"/>
              </w:rPr>
              <w:t>Officer / executive</w:t>
            </w:r>
          </w:p>
        </w:tc>
        <w:tc>
          <w:tcPr>
            <w:tcW w:type="dxa" w:w="2033"/>
            <w:vAlign w:val="center"/>
          </w:tcPr>
          <w:p>
            <w:r/>
            <w:r>
              <w:rPr>
                <w:rFonts w:ascii="Aptos" w:hAnsi="Aptos"/>
                <w:b w:val="0"/>
                <w:sz w:val="18"/>
              </w:rPr>
              <w:t>Board or committee</w:t>
            </w:r>
          </w:p>
        </w:tc>
        <w:tc>
          <w:tcPr>
            <w:tcW w:type="dxa" w:w="2033"/>
            <w:vAlign w:val="center"/>
          </w:tcPr>
          <w:p>
            <w:r/>
            <w:r>
              <w:rPr>
                <w:rFonts w:ascii="Aptos" w:hAnsi="Aptos"/>
                <w:b w:val="0"/>
                <w:sz w:val="18"/>
              </w:rPr>
              <w:t>Board resolution if required</w:t>
            </w:r>
          </w:p>
        </w:tc>
        <w:tc>
          <w:tcPr>
            <w:tcW w:type="dxa" w:w="2033"/>
            <w:vAlign w:val="center"/>
          </w:tcPr>
          <w:p>
            <w:r/>
            <w:r>
              <w:rPr>
                <w:rFonts w:ascii="Aptos" w:hAnsi="Aptos"/>
                <w:b w:val="0"/>
                <w:sz w:val="18"/>
              </w:rPr>
              <w:t>Proposal + alternatives + conflict review</w:t>
            </w:r>
          </w:p>
        </w:tc>
      </w:tr>
      <w:tr>
        <w:trPr>
          <w:cantSplit/>
        </w:trPr>
        <w:tc>
          <w:tcPr>
            <w:tcW w:type="dxa" w:w="2033"/>
            <w:vAlign w:val="center"/>
          </w:tcPr>
          <w:p>
            <w:r/>
            <w:r>
              <w:rPr>
                <w:rFonts w:ascii="Aptos" w:hAnsi="Aptos"/>
                <w:b w:val="0"/>
                <w:sz w:val="18"/>
              </w:rPr>
              <w:t>Wire / ACH to new payee</w:t>
            </w:r>
          </w:p>
        </w:tc>
        <w:tc>
          <w:tcPr>
            <w:tcW w:type="dxa" w:w="2033"/>
            <w:vAlign w:val="center"/>
          </w:tcPr>
          <w:p>
            <w:r/>
            <w:r>
              <w:rPr>
                <w:rFonts w:ascii="Aptos" w:hAnsi="Aptos"/>
                <w:b w:val="0"/>
                <w:sz w:val="18"/>
              </w:rPr>
              <w:t>Authorized operator</w:t>
            </w:r>
          </w:p>
        </w:tc>
        <w:tc>
          <w:tcPr>
            <w:tcW w:type="dxa" w:w="2033"/>
            <w:vAlign w:val="center"/>
          </w:tcPr>
          <w:p>
            <w:r/>
            <w:r>
              <w:rPr>
                <w:rFonts w:ascii="Aptos" w:hAnsi="Aptos"/>
                <w:b w:val="0"/>
                <w:sz w:val="18"/>
              </w:rPr>
              <w:t>Independent approver</w:t>
            </w:r>
          </w:p>
        </w:tc>
        <w:tc>
          <w:tcPr>
            <w:tcW w:type="dxa" w:w="2033"/>
            <w:vAlign w:val="center"/>
          </w:tcPr>
          <w:p>
            <w:r/>
            <w:r>
              <w:rPr>
                <w:rFonts w:ascii="Aptos" w:hAnsi="Aptos"/>
                <w:b w:val="0"/>
                <w:sz w:val="18"/>
              </w:rPr>
              <w:t>[[THRESHOLD]]</w:t>
            </w:r>
          </w:p>
        </w:tc>
        <w:tc>
          <w:tcPr>
            <w:tcW w:type="dxa" w:w="2033"/>
            <w:vAlign w:val="center"/>
          </w:tcPr>
          <w:p>
            <w:r/>
            <w:r>
              <w:rPr>
                <w:rFonts w:ascii="Aptos" w:hAnsi="Aptos"/>
                <w:b w:val="0"/>
                <w:sz w:val="18"/>
              </w:rPr>
              <w:t>Vendor verification + approval</w:t>
            </w:r>
          </w:p>
        </w:tc>
      </w:tr>
      <w:tr>
        <w:trPr>
          <w:cantSplit/>
        </w:trPr>
        <w:tc>
          <w:tcPr>
            <w:tcW w:type="dxa" w:w="2033"/>
            <w:vAlign w:val="center"/>
          </w:tcPr>
          <w:p>
            <w:r/>
            <w:r>
              <w:rPr>
                <w:rFonts w:ascii="Aptos" w:hAnsi="Aptos"/>
                <w:b w:val="0"/>
                <w:sz w:val="18"/>
              </w:rPr>
              <w:t>Related-party transaction</w:t>
            </w:r>
          </w:p>
        </w:tc>
        <w:tc>
          <w:tcPr>
            <w:tcW w:type="dxa" w:w="2033"/>
            <w:vAlign w:val="center"/>
          </w:tcPr>
          <w:p>
            <w:r/>
            <w:r>
              <w:rPr>
                <w:rFonts w:ascii="Aptos" w:hAnsi="Aptos"/>
                <w:b w:val="0"/>
                <w:sz w:val="18"/>
              </w:rPr>
              <w:t>Noninterested staff/leader</w:t>
            </w:r>
          </w:p>
        </w:tc>
        <w:tc>
          <w:tcPr>
            <w:tcW w:type="dxa" w:w="2033"/>
            <w:vAlign w:val="center"/>
          </w:tcPr>
          <w:p>
            <w:r/>
            <w:r>
              <w:rPr>
                <w:rFonts w:ascii="Aptos" w:hAnsi="Aptos"/>
                <w:b w:val="0"/>
                <w:sz w:val="18"/>
              </w:rPr>
              <w:t>Disinterested Board</w:t>
            </w:r>
          </w:p>
        </w:tc>
        <w:tc>
          <w:tcPr>
            <w:tcW w:type="dxa" w:w="2033"/>
            <w:vAlign w:val="center"/>
          </w:tcPr>
          <w:p>
            <w:r/>
            <w:r>
              <w:rPr>
                <w:rFonts w:ascii="Aptos" w:hAnsi="Aptos"/>
                <w:b w:val="0"/>
                <w:sz w:val="18"/>
              </w:rPr>
              <w:t>Board action</w:t>
            </w:r>
          </w:p>
        </w:tc>
        <w:tc>
          <w:tcPr>
            <w:tcW w:type="dxa" w:w="2033"/>
            <w:vAlign w:val="center"/>
          </w:tcPr>
          <w:p>
            <w:r/>
            <w:r>
              <w:rPr>
                <w:rFonts w:ascii="Aptos" w:hAnsi="Aptos"/>
                <w:b w:val="0"/>
                <w:sz w:val="18"/>
              </w:rPr>
              <w:t>CH-038 + CH-044 record</w:t>
            </w:r>
          </w:p>
        </w:tc>
      </w:tr>
      <w:tr>
        <w:trPr>
          <w:cantSplit/>
        </w:trPr>
        <w:tc>
          <w:tcPr>
            <w:tcW w:type="dxa" w:w="2033"/>
            <w:vAlign w:val="center"/>
          </w:tcPr>
          <w:p>
            <w:r/>
            <w:r>
              <w:rPr>
                <w:rFonts w:ascii="Aptos" w:hAnsi="Aptos"/>
                <w:b w:val="0"/>
                <w:sz w:val="18"/>
              </w:rPr>
              <w:t>Compensation</w:t>
            </w:r>
          </w:p>
        </w:tc>
        <w:tc>
          <w:tcPr>
            <w:tcW w:type="dxa" w:w="2033"/>
            <w:vAlign w:val="center"/>
          </w:tcPr>
          <w:p>
            <w:r/>
            <w:r>
              <w:rPr>
                <w:rFonts w:ascii="Aptos" w:hAnsi="Aptos"/>
                <w:b w:val="0"/>
                <w:sz w:val="18"/>
              </w:rPr>
              <w:t>Disinterested authority</w:t>
            </w:r>
          </w:p>
        </w:tc>
        <w:tc>
          <w:tcPr>
            <w:tcW w:type="dxa" w:w="2033"/>
            <w:vAlign w:val="center"/>
          </w:tcPr>
          <w:p>
            <w:r/>
            <w:r>
              <w:rPr>
                <w:rFonts w:ascii="Aptos" w:hAnsi="Aptos"/>
                <w:b w:val="0"/>
                <w:sz w:val="18"/>
              </w:rPr>
              <w:t>Board / committee</w:t>
            </w:r>
          </w:p>
        </w:tc>
        <w:tc>
          <w:tcPr>
            <w:tcW w:type="dxa" w:w="2033"/>
            <w:vAlign w:val="center"/>
          </w:tcPr>
          <w:p>
            <w:r/>
            <w:r>
              <w:rPr>
                <w:rFonts w:ascii="Aptos" w:hAnsi="Aptos"/>
                <w:b w:val="0"/>
                <w:sz w:val="18"/>
              </w:rPr>
              <w:t>As CH-039</w:t>
            </w:r>
          </w:p>
        </w:tc>
        <w:tc>
          <w:tcPr>
            <w:tcW w:type="dxa" w:w="2033"/>
            <w:vAlign w:val="center"/>
          </w:tcPr>
          <w:p>
            <w:r/>
            <w:r>
              <w:rPr>
                <w:rFonts w:ascii="Aptos" w:hAnsi="Aptos"/>
                <w:b w:val="0"/>
                <w:sz w:val="18"/>
              </w:rPr>
              <w:t>Comparability + minutes</w:t>
            </w:r>
          </w:p>
        </w:tc>
      </w:tr>
      <w:tr>
        <w:trPr>
          <w:cantSplit/>
        </w:trPr>
        <w:tc>
          <w:tcPr>
            <w:tcW w:type="dxa" w:w="2033"/>
            <w:vAlign w:val="center"/>
          </w:tcPr>
          <w:p>
            <w:r/>
            <w:r>
              <w:rPr>
                <w:rFonts w:ascii="Aptos" w:hAnsi="Aptos"/>
                <w:b w:val="0"/>
                <w:sz w:val="18"/>
              </w:rPr>
              <w:t>Restricted fund release</w:t>
            </w:r>
          </w:p>
        </w:tc>
        <w:tc>
          <w:tcPr>
            <w:tcW w:type="dxa" w:w="2033"/>
            <w:vAlign w:val="center"/>
          </w:tcPr>
          <w:p>
            <w:r/>
            <w:r>
              <w:rPr>
                <w:rFonts w:ascii="Aptos" w:hAnsi="Aptos"/>
                <w:b w:val="0"/>
                <w:sz w:val="18"/>
              </w:rPr>
              <w:t>Program / finance</w:t>
            </w:r>
          </w:p>
        </w:tc>
        <w:tc>
          <w:tcPr>
            <w:tcW w:type="dxa" w:w="2033"/>
            <w:vAlign w:val="center"/>
          </w:tcPr>
          <w:p>
            <w:r/>
            <w:r>
              <w:rPr>
                <w:rFonts w:ascii="Aptos" w:hAnsi="Aptos"/>
                <w:b w:val="0"/>
                <w:sz w:val="18"/>
              </w:rPr>
              <w:t>Authorized approver</w:t>
            </w:r>
          </w:p>
        </w:tc>
        <w:tc>
          <w:tcPr>
            <w:tcW w:type="dxa" w:w="2033"/>
            <w:vAlign w:val="center"/>
          </w:tcPr>
          <w:p>
            <w:r/>
            <w:r>
              <w:rPr>
                <w:rFonts w:ascii="Aptos" w:hAnsi="Aptos"/>
                <w:b w:val="0"/>
                <w:sz w:val="18"/>
              </w:rPr>
              <w:t>Board if material</w:t>
            </w:r>
          </w:p>
        </w:tc>
        <w:tc>
          <w:tcPr>
            <w:tcW w:type="dxa" w:w="2033"/>
            <w:vAlign w:val="center"/>
          </w:tcPr>
          <w:p>
            <w:r/>
            <w:r>
              <w:rPr>
                <w:rFonts w:ascii="Aptos" w:hAnsi="Aptos"/>
                <w:b w:val="0"/>
                <w:sz w:val="18"/>
              </w:rPr>
              <w:t>Restriction + purpose evidence</w:t>
            </w:r>
          </w:p>
        </w:tc>
      </w:tr>
      <w:tr>
        <w:trPr>
          <w:cantSplit/>
        </w:trPr>
        <w:tc>
          <w:tcPr>
            <w:tcW w:type="dxa" w:w="2033"/>
            <w:vAlign w:val="center"/>
          </w:tcPr>
          <w:p>
            <w:r/>
            <w:r>
              <w:rPr>
                <w:rFonts w:ascii="Aptos" w:hAnsi="Aptos"/>
                <w:b w:val="0"/>
                <w:sz w:val="18"/>
              </w:rPr>
              <w:t>Debt / property</w:t>
            </w:r>
          </w:p>
        </w:tc>
        <w:tc>
          <w:tcPr>
            <w:tcW w:type="dxa" w:w="2033"/>
            <w:vAlign w:val="center"/>
          </w:tcPr>
          <w:p>
            <w:r/>
            <w:r>
              <w:rPr>
                <w:rFonts w:ascii="Aptos" w:hAnsi="Aptos"/>
                <w:b w:val="0"/>
                <w:sz w:val="18"/>
              </w:rPr>
              <w:t>Authorized officer</w:t>
            </w:r>
          </w:p>
        </w:tc>
        <w:tc>
          <w:tcPr>
            <w:tcW w:type="dxa" w:w="2033"/>
            <w:vAlign w:val="center"/>
          </w:tcPr>
          <w:p>
            <w:r/>
            <w:r>
              <w:rPr>
                <w:rFonts w:ascii="Aptos" w:hAnsi="Aptos"/>
                <w:b w:val="0"/>
                <w:sz w:val="18"/>
              </w:rPr>
              <w:t>Board</w:t>
            </w:r>
          </w:p>
        </w:tc>
        <w:tc>
          <w:tcPr>
            <w:tcW w:type="dxa" w:w="2033"/>
            <w:vAlign w:val="center"/>
          </w:tcPr>
          <w:p>
            <w:r/>
            <w:r>
              <w:rPr>
                <w:rFonts w:ascii="Aptos" w:hAnsi="Aptos"/>
                <w:b w:val="0"/>
                <w:sz w:val="18"/>
              </w:rPr>
              <w:t>Ecclesiastical concurrence if required</w:t>
            </w:r>
          </w:p>
        </w:tc>
        <w:tc>
          <w:tcPr>
            <w:tcW w:type="dxa" w:w="2033"/>
            <w:vAlign w:val="center"/>
          </w:tcPr>
          <w:p>
            <w:r/>
            <w:r>
              <w:rPr>
                <w:rFonts w:ascii="Aptos" w:hAnsi="Aptos"/>
                <w:b w:val="0"/>
                <w:sz w:val="18"/>
              </w:rPr>
              <w:t>Formal resolution / legal documents</w:t>
            </w:r>
          </w:p>
        </w:tc>
      </w:tr>
    </w:tbl>
    <w:p>
      <w:pPr>
        <w:pStyle w:val="Heading1"/>
      </w:pPr>
      <w:r>
        <w:t>Cash Offering Procedure</w:t>
      </w:r>
    </w:p>
    <w:p>
      <w:pPr>
        <w:pStyle w:val="ListNumber"/>
      </w:pPr>
      <w:r>
        <w:t>Use pre-numbered count sheet or equivalent electronic record.</w:t>
      </w:r>
    </w:p>
    <w:p>
      <w:pPr>
        <w:pStyle w:val="ListNumber"/>
      </w:pPr>
      <w:r>
        <w:t>Two persons count together where feasible; neither should alter the donor record unilaterally.</w:t>
      </w:r>
    </w:p>
    <w:p>
      <w:pPr>
        <w:pStyle w:val="ListNumber"/>
      </w:pPr>
      <w:r>
        <w:t>Deposit promptly to the organizational account.</w:t>
      </w:r>
    </w:p>
    <w:p>
      <w:pPr>
        <w:pStyle w:val="ListNumber"/>
      </w:pPr>
      <w:r>
        <w:t>Record total, date, service/event, counters, deposit ID, and any designated/restricted amounts.</w:t>
      </w:r>
    </w:p>
    <w:p>
      <w:pPr>
        <w:pStyle w:val="ListNumber"/>
      </w:pPr>
      <w:r>
        <w:t>Reconcile count record to bank deposit and contribution ledger.</w:t>
      </w:r>
    </w:p>
    <w:p>
      <w:pPr>
        <w:pStyle w:val="Heading1"/>
      </w:pPr>
      <w:r>
        <w:t>Continuity and Cybersecurity</w:t>
      </w:r>
    </w:p>
    <w:p>
      <w:pPr>
        <w:pStyle w:val="ListBullet"/>
      </w:pPr>
      <w:r>
        <w:t>Maintain an inventory of financial accounts, processors, cards, authorized users, and recovery contacts.</w:t>
      </w:r>
    </w:p>
    <w:p>
      <w:pPr>
        <w:pStyle w:val="ListBullet"/>
      </w:pPr>
      <w:r>
        <w:t>Use multi-factor authentication wherever available.</w:t>
      </w:r>
    </w:p>
    <w:p>
      <w:pPr>
        <w:pStyle w:val="ListBullet"/>
        <w:spacing w:after="0" w:before="0" w:line="240" w:lineRule="auto"/>
      </w:pPr>
      <w:r>
        <w:t>No irreplaceable password, private key, or banking credential should be known only to one person.</w:t>
      </w:r>
    </w:p>
    <w:p>
      <w:pPr>
        <w:pStyle w:val="ListBullet"/>
        <w:spacing w:after="0" w:before="0" w:line="240" w:lineRule="auto"/>
      </w:pPr>
      <w:r>
        <w:t>Leadership transitions trigger immediate access review and revocation where appropriate.</w:t>
      </w:r>
    </w:p>
    <w:p>
      <w:pPr>
        <w:pStyle w:val="ListBullet"/>
        <w:spacing w:after="0" w:before="0" w:line="240" w:lineRule="auto"/>
      </w:pPr>
      <w:r>
        <w:t>Back up accounting records and preserve statements independently of the bank portal.</w:t>
      </w:r>
    </w:p>
    <w:p>
      <w:pPr>
        <w:pStyle w:val="Heading1"/>
        <w:spacing w:after="0" w:before="0" w:line="240" w:lineRule="auto"/>
      </w:pPr>
      <w:r>
        <w:t>Current Legal and Administrative References</w:t>
      </w:r>
    </w:p>
    <w:p>
      <w:pPr>
        <w:spacing w:after="0" w:before="0" w:line="240" w:lineRule="auto"/>
      </w:pPr>
      <w:r>
        <w:rPr>
          <w:b/>
        </w:rPr>
        <w:t xml:space="preserve">IRS operational recordkeeping requirements: </w:t>
      </w:r>
      <w:r>
        <w:t>https://www.irs.gov/charities-non-profits/eo-operational-requirements-recordkeeping-requirements-for-exempt-organizations</w:t>
      </w:r>
    </w:p>
    <w:p>
      <w:pPr>
        <w:spacing w:after="0" w:before="0" w:line="240" w:lineRule="auto"/>
      </w:pPr>
      <w:r>
        <w:rPr>
          <w:b/>
        </w:rPr>
        <w:t xml:space="preserve">IRS Form 1023 Instructions: </w:t>
      </w:r>
      <w:r>
        <w:t>https://www.irs.gov/instructions/i1023</w:t>
      </w:r>
    </w:p>
    <w:p>
      <w:pPr>
        <w:spacing w:after="0" w:before="0" w:line="240" w:lineRule="auto"/>
      </w:pPr>
      <w:r>
        <w:rPr>
          <w:b/>
        </w:rPr>
        <w:t xml:space="preserve">Tennessee director standards: </w:t>
      </w:r>
      <w:r>
        <w:t>https://law.justia.com/codes/tennessee/title-48/nonprofit-corporations/chapter-58/part-3/section-48-58-301/</w:t>
      </w:r>
    </w:p>
    <w:p>
      <w:pPr>
        <w:pStyle w:val="Heading1"/>
        <w:spacing w:after="0" w:before="0" w:line="240" w:lineRule="auto"/>
      </w:pPr>
      <w:r>
        <w:t>Adoption and Certification</w:t>
      </w:r>
    </w:p>
    <w:p>
      <w:pPr>
        <w:spacing w:after="0" w:before="0" w:line="240" w:lineRule="auto"/>
      </w:pPr>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r/>
            <w:r>
              <w:rPr>
                <w:rFonts w:ascii="Aptos" w:hAnsi="Aptos"/>
                <w:b/>
                <w:color w:val="FFFFFF"/>
                <w:sz w:val="18"/>
              </w:rPr>
              <w:t>Field</w:t>
            </w:r>
          </w:p>
        </w:tc>
        <w:tc>
          <w:tcPr>
            <w:tcW w:type="dxa" w:w="6480"/>
            <w:vAlign w:val="center"/>
            <w:shd w:fill="1F4E79"/>
          </w:tcPr>
          <w:p>
            <w:r/>
            <w:r>
              <w:rPr>
                <w:rFonts w:ascii="Aptos" w:hAnsi="Aptos"/>
                <w:b/>
                <w:color w:val="FFFFFF"/>
                <w:sz w:val="18"/>
              </w:rPr>
              <w:t>Entry</w:t>
            </w:r>
          </w:p>
        </w:tc>
      </w:tr>
      <w:tr>
        <w:trPr>
          <w:cantSplit/>
        </w:trPr>
        <w:tc>
          <w:tcPr>
            <w:tcW w:type="dxa" w:w="2880"/>
            <w:vAlign w:val="center"/>
          </w:tcPr>
          <w:p>
            <w:r/>
            <w:r>
              <w:rPr>
                <w:rFonts w:ascii="Aptos" w:hAnsi="Aptos"/>
                <w:b w:val="0"/>
                <w:sz w:val="18"/>
              </w:rPr>
              <w:t>Organization</w:t>
            </w:r>
          </w:p>
        </w:tc>
        <w:tc>
          <w:tcPr>
            <w:tcW w:type="dxa" w:w="6480"/>
            <w:vAlign w:val="center"/>
          </w:tcPr>
          <w:p>
            <w:r/>
            <w:r>
              <w:rPr>
                <w:rFonts w:ascii="Aptos" w:hAnsi="Aptos"/>
                <w:b w:val="0"/>
                <w:sz w:val="18"/>
              </w:rPr>
              <w:t>[[CORP_NAME]]</w:t>
            </w:r>
          </w:p>
        </w:tc>
      </w:tr>
      <w:tr>
        <w:trPr>
          <w:cantSplit/>
        </w:trPr>
        <w:tc>
          <w:tcPr>
            <w:tcW w:type="dxa" w:w="2880"/>
            <w:vAlign w:val="center"/>
          </w:tcPr>
          <w:p>
            <w:r/>
            <w:r>
              <w:rPr>
                <w:rFonts w:ascii="Aptos" w:hAnsi="Aptos"/>
                <w:b w:val="0"/>
                <w:sz w:val="18"/>
              </w:rPr>
              <w:t>Date of Adoption</w:t>
            </w:r>
          </w:p>
        </w:tc>
        <w:tc>
          <w:tcPr>
            <w:tcW w:type="dxa" w:w="6480"/>
            <w:vAlign w:val="center"/>
          </w:tcPr>
          <w:p>
            <w:r/>
            <w:r>
              <w:rPr>
                <w:rFonts w:ascii="Aptos" w:hAnsi="Aptos"/>
                <w:b w:val="0"/>
                <w:sz w:val="18"/>
              </w:rPr>
              <w:t>[[DATE]]</w:t>
            </w:r>
          </w:p>
        </w:tc>
      </w:tr>
      <w:tr>
        <w:trPr>
          <w:cantSplit/>
        </w:trPr>
        <w:tc>
          <w:tcPr>
            <w:tcW w:type="dxa" w:w="2880"/>
            <w:vAlign w:val="center"/>
          </w:tcPr>
          <w:p>
            <w:r/>
            <w:r>
              <w:rPr>
                <w:rFonts w:ascii="Aptos" w:hAnsi="Aptos"/>
                <w:b w:val="0"/>
                <w:sz w:val="18"/>
              </w:rPr>
              <w:t>Adopting Authority</w:t>
            </w:r>
          </w:p>
        </w:tc>
        <w:tc>
          <w:tcPr>
            <w:tcW w:type="dxa" w:w="6480"/>
            <w:vAlign w:val="center"/>
          </w:tcPr>
          <w:p>
            <w:r/>
            <w:r>
              <w:rPr>
                <w:rFonts w:ascii="Aptos" w:hAnsi="Aptos"/>
                <w:b w:val="0"/>
                <w:sz w:val="18"/>
              </w:rPr>
              <w:t>Civil Board of Directors</w:t>
            </w:r>
          </w:p>
        </w:tc>
      </w:tr>
      <w:tr>
        <w:trPr>
          <w:cantSplit/>
        </w:trPr>
        <w:tc>
          <w:tcPr>
            <w:tcW w:type="dxa" w:w="2880"/>
            <w:vAlign w:val="center"/>
          </w:tcPr>
          <w:p>
            <w:r/>
            <w:r>
              <w:rPr>
                <w:rFonts w:ascii="Aptos" w:hAnsi="Aptos"/>
                <w:b w:val="0"/>
                <w:sz w:val="18"/>
              </w:rPr>
              <w:t>Approval / Resolution</w:t>
            </w:r>
          </w:p>
        </w:tc>
        <w:tc>
          <w:tcPr>
            <w:tcW w:type="dxa" w:w="6480"/>
            <w:vAlign w:val="center"/>
          </w:tcPr>
          <w:p>
            <w:r/>
            <w:r>
              <w:rPr>
                <w:rFonts w:ascii="Aptos" w:hAnsi="Aptos"/>
                <w:b w:val="0"/>
                <w:sz w:val="18"/>
              </w:rPr>
              <w:t>[[APPROVAL_RECORD]]</w:t>
            </w:r>
          </w:p>
        </w:tc>
      </w:tr>
    </w:tbl>
    <w:p>
      <w:pPr>
        <w:spacing w:after="0" w:before="0" w:line="240" w:lineRule="auto"/>
      </w:pPr>
      <w:r>
        <w:t>Certification</w:t>
      </w:r>
    </w:p>
    <w:p>
      <w:pPr>
        <w:spacing w:after="0" w:before="0" w:line="240" w:lineRule="auto"/>
      </w:pPr>
      <w:r>
        <w:t>I certify that the foregoing instrument was duly adopted or approved as stated above and remains in effect except as subsequently amended through valid process.</w:t>
      </w:r>
    </w:p>
    <w:p>
      <w:pPr>
        <w:spacing w:after="0" w:before="0" w:line="240" w:lineRule="auto"/>
      </w:pPr>
      <w:r>
        <w:t>Signature: ________________________________________   [[NAME / OFFICE]]   Date: [[DATE]]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CH-040  |  Financial Controls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