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Budget and Budget Procedure</w:t>
      </w:r>
    </w:p>
    <w:p>
      <w:pPr>
        <w:jc w:val="left"/>
      </w:pPr>
      <w:r>
        <w:rPr>
          <w:i/>
          <w:color w:val="4B5563"/>
          <w:sz w:val="22"/>
        </w:rPr>
        <w:t>Founding budget structure, approval workflow, variance control, and zero-state template</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CH-042</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Budget Principle</w:t>
      </w:r>
    </w:p>
    <w:p>
      <w:r>
        <w:t>The budget is a governing plan, not a guarantee of revenue and not authority to spend without applicable transaction controls. Because verified operating assumptions are not yet available, this document provides a zero-state template rather than invented dollar projections.</w:t>
      </w:r>
    </w:p>
    <w:p>
      <w:pPr>
        <w:pStyle w:val="Heading1"/>
      </w:pPr>
      <w:r>
        <w:t>Budget Development Cycle</w:t>
      </w:r>
    </w:p>
    <w:p>
      <w:pPr>
        <w:pStyle w:val="ListNumber"/>
      </w:pPr>
      <w:r>
        <w:t>Identify expected activities, staffing, facilities, ministry, safeguarding, compliance, and capital needs.</w:t>
      </w:r>
    </w:p>
    <w:p>
      <w:pPr>
        <w:pStyle w:val="ListNumber"/>
      </w:pPr>
      <w:r>
        <w:t>Build revenue assumptions by source, distinguishing committed, reasonably expected, aspirational, restricted, and unrestricted amounts.</w:t>
      </w:r>
    </w:p>
    <w:p>
      <w:pPr>
        <w:pStyle w:val="ListNumber"/>
      </w:pPr>
      <w:r>
        <w:t>Budget expenses by program/function and account.</w:t>
      </w:r>
    </w:p>
    <w:p>
      <w:pPr>
        <w:pStyle w:val="ListNumber"/>
      </w:pPr>
      <w:r>
        <w:t>Identify one-time founding costs separately from recurring operating costs.</w:t>
      </w:r>
    </w:p>
    <w:p>
      <w:pPr>
        <w:pStyle w:val="ListNumber"/>
      </w:pPr>
      <w:r>
        <w:t>Prepare cash-flow and downside scenarios if liquidity is uncertain.</w:t>
      </w:r>
    </w:p>
    <w:p>
      <w:pPr>
        <w:pStyle w:val="ListNumber"/>
      </w:pPr>
      <w:r>
        <w:t>Review compensation and insider arrangements under CH-038/039/044.</w:t>
      </w:r>
    </w:p>
    <w:p>
      <w:pPr>
        <w:pStyle w:val="ListNumber"/>
      </w:pPr>
      <w:r>
        <w:t>Present a balanced or intentionally deficit budget with identified funding source and reserve impact.</w:t>
      </w:r>
    </w:p>
    <w:p>
      <w:pPr>
        <w:pStyle w:val="ListNumber"/>
      </w:pPr>
      <w:r>
        <w:t>Board adopts the budget before the fiscal period or as soon as practicable during formation.</w:t>
      </w:r>
    </w:p>
    <w:p>
      <w:pPr>
        <w:pStyle w:val="ListNumber"/>
      </w:pPr>
      <w:r>
        <w:t>Review actual-to-budget results at least quarterly; material variances receive explanation and, where appropriate, formal revision.</w:t>
      </w:r>
    </w:p>
    <w:p>
      <w:pPr>
        <w:pStyle w:val="Heading1"/>
      </w:pPr>
      <w:r>
        <w:t>Founding Budget Template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9"/>
          </w:tcPr>
          <w:p>
            <w:r/>
            <w:r>
              <w:rPr>
                <w:rFonts w:ascii="Aptos" w:hAnsi="Aptos"/>
                <w:b/>
                <w:color w:val="FFFFFF"/>
                <w:sz w:val="18"/>
              </w:rPr>
              <w:t>Account / Category</w:t>
            </w:r>
          </w:p>
        </w:tc>
        <w:tc>
          <w:tcPr>
            <w:tcW w:type="dxa" w:w="2541"/>
            <w:vAlign w:val="center"/>
            <w:shd w:fill="1F4E79"/>
          </w:tcPr>
          <w:p>
            <w:r/>
            <w:r>
              <w:rPr>
                <w:rFonts w:ascii="Aptos" w:hAnsi="Aptos"/>
                <w:b/>
                <w:color w:val="FFFFFF"/>
                <w:sz w:val="18"/>
              </w:rPr>
              <w:t>Annual Budget</w:t>
            </w:r>
          </w:p>
        </w:tc>
        <w:tc>
          <w:tcPr>
            <w:tcW w:type="dxa" w:w="2541"/>
            <w:vAlign w:val="center"/>
            <w:shd w:fill="1F4E79"/>
          </w:tcPr>
          <w:p>
            <w:r/>
            <w:r>
              <w:rPr>
                <w:rFonts w:ascii="Aptos" w:hAnsi="Aptos"/>
                <w:b/>
                <w:color w:val="FFFFFF"/>
                <w:sz w:val="18"/>
              </w:rPr>
              <w:t>Restricted?</w:t>
            </w:r>
          </w:p>
        </w:tc>
        <w:tc>
          <w:tcPr>
            <w:tcW w:type="dxa" w:w="2541"/>
            <w:vAlign w:val="center"/>
            <w:shd w:fill="1F4E79"/>
          </w:tcPr>
          <w:p>
            <w:r/>
            <w:r>
              <w:rPr>
                <w:rFonts w:ascii="Aptos" w:hAnsi="Aptos"/>
                <w:b/>
                <w:color w:val="FFFFFF"/>
                <w:sz w:val="18"/>
              </w:rPr>
              <w:t>Assumption / Basis</w:t>
            </w:r>
          </w:p>
        </w:tc>
      </w:tr>
      <w:tr>
        <w:trPr>
          <w:cantSplit/>
        </w:trPr>
        <w:tc>
          <w:tcPr>
            <w:tcW w:type="dxa" w:w="2541"/>
            <w:vAlign w:val="center"/>
          </w:tcPr>
          <w:p>
            <w:r/>
            <w:r>
              <w:rPr>
                <w:rFonts w:ascii="Aptos" w:hAnsi="Aptos"/>
                <w:b w:val="0"/>
                <w:sz w:val="18"/>
              </w:rPr>
              <w:t>Unrestricted contributions</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t>No</w:t>
            </w:r>
          </w:p>
        </w:tc>
        <w:tc>
          <w:tcPr>
            <w:tcW w:type="dxa" w:w="2541"/>
            <w:vAlign w:val="center"/>
          </w:tcPr>
          <w:p>
            <w:r/>
            <w:r>
              <w:rPr>
                <w:rFonts w:ascii="Aptos" w:hAnsi="Aptos"/>
                <w:b w:val="0"/>
                <w:sz w:val="18"/>
              </w:rPr>
              <w:t>[[DONOR / CAMPAIGN ASSUMPTIONS]]</w:t>
            </w:r>
          </w:p>
        </w:tc>
      </w:tr>
      <w:tr>
        <w:trPr>
          <w:cantSplit/>
        </w:trPr>
        <w:tc>
          <w:tcPr>
            <w:tcW w:type="dxa" w:w="2541"/>
            <w:vAlign w:val="center"/>
          </w:tcPr>
          <w:p>
            <w:r/>
            <w:r>
              <w:rPr>
                <w:rFonts w:ascii="Aptos" w:hAnsi="Aptos"/>
                <w:b w:val="0"/>
                <w:sz w:val="18"/>
              </w:rPr>
              <w:t>Restricted contributions</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t>Yes</w:t>
            </w:r>
          </w:p>
        </w:tc>
        <w:tc>
          <w:tcPr>
            <w:tcW w:type="dxa" w:w="2541"/>
            <w:vAlign w:val="center"/>
          </w:tcPr>
          <w:p>
            <w:r/>
            <w:r>
              <w:rPr>
                <w:rFonts w:ascii="Aptos" w:hAnsi="Aptos"/>
                <w:b w:val="0"/>
                <w:sz w:val="18"/>
              </w:rPr>
              <w:t>[[PURPOSES]]</w:t>
            </w:r>
          </w:p>
        </w:tc>
      </w:tr>
      <w:tr>
        <w:trPr>
          <w:cantSplit/>
        </w:trPr>
        <w:tc>
          <w:tcPr>
            <w:tcW w:type="dxa" w:w="2541"/>
            <w:vAlign w:val="center"/>
          </w:tcPr>
          <w:p>
            <w:r/>
            <w:r>
              <w:rPr>
                <w:rFonts w:ascii="Aptos" w:hAnsi="Aptos"/>
                <w:b w:val="0"/>
                <w:sz w:val="18"/>
              </w:rPr>
              <w:t>Program / event revenue</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t>Maybe</w:t>
            </w:r>
          </w:p>
        </w:tc>
        <w:tc>
          <w:tcPr>
            <w:tcW w:type="dxa" w:w="2541"/>
            <w:vAlign w:val="center"/>
          </w:tcPr>
          <w:p>
            <w:r/>
            <w:r>
              <w:rPr>
                <w:rFonts w:ascii="Aptos" w:hAnsi="Aptos"/>
                <w:b w:val="0"/>
                <w:sz w:val="18"/>
              </w:rPr>
              <w:t>[[BASIS]]</w:t>
            </w:r>
          </w:p>
        </w:tc>
      </w:tr>
      <w:tr>
        <w:trPr>
          <w:cantSplit/>
        </w:trPr>
        <w:tc>
          <w:tcPr>
            <w:tcW w:type="dxa" w:w="2541"/>
            <w:vAlign w:val="center"/>
          </w:tcPr>
          <w:p>
            <w:r/>
            <w:r>
              <w:rPr>
                <w:rFonts w:ascii="Aptos" w:hAnsi="Aptos"/>
                <w:b w:val="0"/>
                <w:sz w:val="18"/>
              </w:rPr>
              <w:t>Grants</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t>Often</w:t>
            </w:r>
          </w:p>
        </w:tc>
        <w:tc>
          <w:tcPr>
            <w:tcW w:type="dxa" w:w="2541"/>
            <w:vAlign w:val="center"/>
          </w:tcPr>
          <w:p>
            <w:r/>
            <w:r>
              <w:rPr>
                <w:rFonts w:ascii="Aptos" w:hAnsi="Aptos"/>
                <w:b w:val="0"/>
                <w:sz w:val="18"/>
              </w:rPr>
              <w:t>[[GRANTS / NONE]]</w:t>
            </w:r>
          </w:p>
        </w:tc>
      </w:tr>
      <w:tr>
        <w:trPr>
          <w:cantSplit/>
        </w:trPr>
        <w:tc>
          <w:tcPr>
            <w:tcW w:type="dxa" w:w="2541"/>
            <w:vAlign w:val="center"/>
          </w:tcPr>
          <w:p>
            <w:r/>
            <w:r>
              <w:rPr>
                <w:rFonts w:ascii="Aptos" w:hAnsi="Aptos"/>
                <w:b w:val="0"/>
                <w:sz w:val="18"/>
              </w:rPr>
              <w:t>Worship and ministry</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[[BASIS]]</w:t>
            </w:r>
          </w:p>
        </w:tc>
      </w:tr>
      <w:tr>
        <w:trPr>
          <w:cantSplit/>
        </w:trPr>
        <w:tc>
          <w:tcPr>
            <w:tcW w:type="dxa" w:w="2541"/>
            <w:vAlign w:val="center"/>
          </w:tcPr>
          <w:p>
            <w:r/>
            <w:r>
              <w:rPr>
                <w:rFonts w:ascii="Aptos" w:hAnsi="Aptos"/>
                <w:b w:val="0"/>
                <w:sz w:val="18"/>
              </w:rPr>
              <w:t>Religious education</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[[BASIS]]</w:t>
            </w:r>
          </w:p>
        </w:tc>
      </w:tr>
      <w:tr>
        <w:trPr>
          <w:cantSplit/>
        </w:trPr>
        <w:tc>
          <w:tcPr>
            <w:tcW w:type="dxa" w:w="2541"/>
            <w:vAlign w:val="center"/>
          </w:tcPr>
          <w:p>
            <w:r/>
            <w:r>
              <w:rPr>
                <w:rFonts w:ascii="Aptos" w:hAnsi="Aptos"/>
                <w:b w:val="0"/>
                <w:sz w:val="18"/>
              </w:rPr>
              <w:t>Ministerial formation</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[[BASIS]]</w:t>
            </w:r>
          </w:p>
        </w:tc>
      </w:tr>
      <w:tr>
        <w:trPr>
          <w:cantSplit/>
        </w:trPr>
        <w:tc>
          <w:tcPr>
            <w:tcW w:type="dxa" w:w="2541"/>
            <w:vAlign w:val="center"/>
          </w:tcPr>
          <w:p>
            <w:r/>
            <w:r>
              <w:rPr>
                <w:rFonts w:ascii="Aptos" w:hAnsi="Aptos"/>
                <w:b w:val="0"/>
                <w:sz w:val="18"/>
              </w:rPr>
              <w:t>Facility / worship location</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[[RENT / UTILITIES / NONE]]</w:t>
            </w:r>
          </w:p>
        </w:tc>
      </w:tr>
      <w:tr>
        <w:trPr>
          <w:cantSplit/>
        </w:trPr>
        <w:tc>
          <w:tcPr>
            <w:tcW w:type="dxa" w:w="2541"/>
            <w:vAlign w:val="center"/>
          </w:tcPr>
          <w:p>
            <w:r/>
            <w:r>
              <w:rPr>
                <w:rFonts w:ascii="Aptos" w:hAnsi="Aptos"/>
                <w:b w:val="0"/>
                <w:sz w:val="18"/>
              </w:rPr>
              <w:t>Personnel / compensation</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CH-039 approved assumptions</w:t>
            </w:r>
          </w:p>
        </w:tc>
      </w:tr>
      <w:tr>
        <w:trPr>
          <w:cantSplit/>
        </w:trPr>
        <w:tc>
          <w:tcPr>
            <w:tcW w:type="dxa" w:w="2541"/>
            <w:vAlign w:val="center"/>
          </w:tcPr>
          <w:p>
            <w:r/>
            <w:r>
              <w:rPr>
                <w:rFonts w:ascii="Aptos" w:hAnsi="Aptos"/>
                <w:b w:val="0"/>
                <w:sz w:val="18"/>
              </w:rPr>
              <w:t>Safeguarding / insurance</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[[BASIS]]</w:t>
            </w:r>
          </w:p>
        </w:tc>
      </w:tr>
      <w:tr>
        <w:trPr>
          <w:cantSplit/>
        </w:trPr>
        <w:tc>
          <w:tcPr>
            <w:tcW w:type="dxa" w:w="2541"/>
            <w:vAlign w:val="center"/>
          </w:tcPr>
          <w:p>
            <w:r/>
            <w:r>
              <w:rPr>
                <w:rFonts w:ascii="Aptos" w:hAnsi="Aptos"/>
                <w:b w:val="0"/>
                <w:sz w:val="18"/>
              </w:rPr>
              <w:t>Technology / communications</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[[BASIS]]</w:t>
            </w:r>
          </w:p>
        </w:tc>
      </w:tr>
      <w:tr>
        <w:trPr>
          <w:cantSplit/>
        </w:trPr>
        <w:tc>
          <w:tcPr>
            <w:tcW w:type="dxa" w:w="2541"/>
            <w:vAlign w:val="center"/>
          </w:tcPr>
          <w:p>
            <w:r/>
            <w:r>
              <w:rPr>
                <w:rFonts w:ascii="Aptos" w:hAnsi="Aptos"/>
                <w:b w:val="0"/>
                <w:sz w:val="18"/>
              </w:rPr>
              <w:t>Professional / filing fees</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[[LEGAL / ACCOUNTING / IRS / STATE]]</w:t>
            </w:r>
          </w:p>
        </w:tc>
      </w:tr>
      <w:tr>
        <w:trPr>
          <w:cantSplit/>
        </w:trPr>
        <w:tc>
          <w:tcPr>
            <w:tcW w:type="dxa" w:w="2541"/>
            <w:vAlign w:val="center"/>
          </w:tcPr>
          <w:p>
            <w:r/>
            <w:r>
              <w:rPr>
                <w:rFonts w:ascii="Aptos" w:hAnsi="Aptos"/>
                <w:b w:val="0"/>
                <w:sz w:val="18"/>
              </w:rPr>
              <w:t>Benevolence / charitable assistance</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t>Maybe</w:t>
            </w:r>
          </w:p>
        </w:tc>
        <w:tc>
          <w:tcPr>
            <w:tcW w:type="dxa" w:w="2541"/>
            <w:vAlign w:val="center"/>
          </w:tcPr>
          <w:p>
            <w:r/>
            <w:r>
              <w:rPr>
                <w:rFonts w:ascii="Aptos" w:hAnsi="Aptos"/>
                <w:b w:val="0"/>
                <w:sz w:val="18"/>
              </w:rPr>
              <w:t>[[POLICY / FUNDING]]</w:t>
            </w:r>
          </w:p>
        </w:tc>
      </w:tr>
      <w:tr>
        <w:trPr>
          <w:cantSplit/>
        </w:trPr>
        <w:tc>
          <w:tcPr>
            <w:tcW w:type="dxa" w:w="2541"/>
            <w:vAlign w:val="center"/>
          </w:tcPr>
          <w:p>
            <w:r/>
            <w:r>
              <w:rPr>
                <w:rFonts w:ascii="Aptos" w:hAnsi="Aptos"/>
                <w:b w:val="0"/>
                <w:sz w:val="18"/>
              </w:rPr>
              <w:t>Reserve contribution</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r>
          </w:p>
        </w:tc>
        <w:tc>
          <w:tcPr>
            <w:tcW w:type="dxa" w:w="2541"/>
            <w:vAlign w:val="center"/>
          </w:tcPr>
          <w:p>
            <w:r/>
            <w:r>
              <w:rPr>
                <w:rFonts w:ascii="Aptos" w:hAnsi="Aptos"/>
                <w:b w:val="0"/>
                <w:sz w:val="18"/>
              </w:rPr>
              <w:t>[[TARGET]]</w:t>
            </w:r>
          </w:p>
        </w:tc>
      </w:tr>
      <w:tr>
        <w:trPr>
          <w:cantSplit/>
        </w:trPr>
        <w:tc>
          <w:tcPr>
            <w:tcW w:type="dxa" w:w="2541"/>
            <w:vAlign w:val="center"/>
          </w:tcPr>
          <w:p>
            <w:r/>
            <w:r>
              <w:rPr>
                <w:rFonts w:ascii="Aptos" w:hAnsi="Aptos"/>
                <w:b w:val="0"/>
                <w:sz w:val="18"/>
              </w:rPr>
              <w:t>Capital / property</w:t>
            </w:r>
          </w:p>
        </w:tc>
        <w:tc>
          <w:tcPr>
            <w:tcW w:type="dxa" w:w="2541"/>
            <w:vAlign w:val="center"/>
          </w:tcPr>
          <w:p>
            <w:r/>
            <w:r>
              <w:rPr>
                <w:rFonts w:ascii="Aptos" w:hAnsi="Aptos"/>
                <w:b w:val="0"/>
                <w:sz w:val="18"/>
              </w:rPr>
              <w:t>[[INPUT]]</w:t>
            </w:r>
          </w:p>
        </w:tc>
        <w:tc>
          <w:tcPr>
            <w:tcW w:type="dxa" w:w="2541"/>
            <w:vAlign w:val="center"/>
          </w:tcPr>
          <w:p>
            <w:r/>
            <w:r>
              <w:rPr>
                <w:rFonts w:ascii="Aptos" w:hAnsi="Aptos"/>
                <w:b w:val="0"/>
                <w:sz w:val="18"/>
              </w:rPr>
              <w:t>Maybe</w:t>
            </w:r>
          </w:p>
        </w:tc>
        <w:tc>
          <w:tcPr>
            <w:tcW w:type="dxa" w:w="2541"/>
            <w:vAlign w:val="center"/>
          </w:tcPr>
          <w:p>
            <w:r/>
            <w:r>
              <w:rPr>
                <w:rFonts w:ascii="Aptos" w:hAnsi="Aptos"/>
                <w:b w:val="0"/>
                <w:sz w:val="18"/>
              </w:rPr>
              <w:t>[[PROJECT]]</w:t>
            </w:r>
          </w:p>
        </w:tc>
      </w:tr>
    </w:tbl>
    <w:p>
      <w:pPr>
        <w:pStyle w:val="Heading1"/>
      </w:pPr>
      <w:r>
        <w:t>Budget Resolution</w:t>
      </w:r>
    </w:p>
    <w:p>
      <w:r>
        <w:t>RESOLVED, that the Board adopts the fiscal-year [[YEAR]] budget attached as Exhibit A, authorizes expenditures only within applicable authority and control policies, and requires management to report material variances and any proposed amendment that exceeds delegated authority.</w:t>
      </w:r>
    </w:p>
    <w:p>
      <w:pPr>
        <w:pStyle w:val="Heading1"/>
      </w:pPr>
      <w:r>
        <w:t>Current Legal and Administrative References</w:t>
      </w:r>
    </w:p>
    <w:p>
      <w:r>
        <w:rPr>
          <w:b/>
        </w:rPr>
        <w:t xml:space="preserve">IRS Form 1023 Instructions - financial data: </w:t>
      </w:r>
      <w:r>
        <w:t>https://www.irs.gov/instructions/i1023</w:t>
      </w:r>
    </w:p>
    <w:p>
      <w:r>
        <w:rPr>
          <w:b/>
        </w:rPr>
        <w:t xml:space="preserve">IRS recordkeeping requirements: </w:t>
      </w:r>
      <w:r>
        <w:t>https://www.irs.gov/charities-non-profits/eo-operational-requirements-recordkeeping-requirements-for-exempt-organizations</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CH-042  |  Annual Budget and Budget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