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Statements and Reporting Standard</w:t>
      </w:r>
    </w:p>
    <w:p>
      <w:pPr>
        <w:spacing w:after="0" w:line="240" w:lineRule="auto"/>
        <w:jc w:val="left"/>
      </w:pPr>
      <w:r>
        <w:rPr>
          <w:i/>
          <w:color w:val="4B5563"/>
          <w:sz w:val="22"/>
        </w:rPr>
        <w:t>Management financial statements, reconciliations, and Form 1023 support</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pPr>
              <w:spacing w:after="0" w:before="0" w:line="240" w:lineRule="auto"/>
            </w:pPr>
            <w:r/>
            <w:r>
              <w:rPr>
                <w:rFonts w:ascii="Aptos" w:hAnsi="Aptos"/>
                <w:b/>
                <w:sz w:val="18"/>
              </w:rPr>
              <w:t>Document ID</w:t>
            </w:r>
          </w:p>
        </w:tc>
        <w:tc>
          <w:tcPr>
            <w:tcW w:type="dxa" w:w="5083"/>
            <w:vAlign w:val="center"/>
          </w:tcPr>
          <w:p>
            <w:pPr>
              <w:spacing w:after="0" w:before="0" w:line="240" w:lineRule="auto"/>
            </w:pPr>
            <w:r/>
            <w:r>
              <w:rPr>
                <w:rFonts w:ascii="Aptos" w:hAnsi="Aptos"/>
                <w:b w:val="0"/>
                <w:sz w:val="18"/>
              </w:rPr>
              <w:t>CH-043</w:t>
            </w:r>
          </w:p>
        </w:tc>
      </w:tr>
      <w:tr>
        <w:tc>
          <w:tcPr>
            <w:tcW w:type="dxa" w:w="5083"/>
            <w:vAlign w:val="center"/>
            <w:shd w:fill="E5E7EB"/>
          </w:tcPr>
          <w:p>
            <w:pPr>
              <w:spacing w:after="0" w:before="0" w:line="240" w:lineRule="auto"/>
            </w:pPr>
            <w:r/>
            <w:r>
              <w:rPr>
                <w:rFonts w:ascii="Aptos" w:hAnsi="Aptos"/>
                <w:b/>
                <w:sz w:val="18"/>
              </w:rPr>
              <w:t>Version</w:t>
            </w:r>
          </w:p>
        </w:tc>
        <w:tc>
          <w:tcPr>
            <w:tcW w:type="dxa" w:w="5083"/>
            <w:vAlign w:val="center"/>
          </w:tcPr>
          <w:p>
            <w:pPr>
              <w:spacing w:after="0" w:before="0" w:line="240" w:lineRule="auto"/>
            </w:pPr>
            <w:r/>
            <w:r>
              <w:rPr>
                <w:rFonts w:ascii="Aptos" w:hAnsi="Aptos"/>
                <w:b w:val="0"/>
                <w:sz w:val="18"/>
              </w:rPr>
              <w:t>0.1.0</w:t>
            </w:r>
          </w:p>
        </w:tc>
      </w:tr>
      <w:tr>
        <w:tc>
          <w:tcPr>
            <w:tcW w:type="dxa" w:w="5083"/>
            <w:vAlign w:val="center"/>
            <w:shd w:fill="E5E7EB"/>
          </w:tcPr>
          <w:p>
            <w:pPr>
              <w:spacing w:after="0" w:before="0" w:line="240" w:lineRule="auto"/>
            </w:pPr>
            <w:r/>
            <w:r>
              <w:rPr>
                <w:rFonts w:ascii="Aptos" w:hAnsi="Aptos"/>
                <w:b/>
                <w:sz w:val="18"/>
              </w:rPr>
              <w:t>Status</w:t>
            </w:r>
          </w:p>
        </w:tc>
        <w:tc>
          <w:tcPr>
            <w:tcW w:type="dxa" w:w="5083"/>
            <w:vAlign w:val="center"/>
          </w:tcPr>
          <w:p>
            <w:pPr>
              <w:spacing w:after="0" w:before="0" w:line="240" w:lineRule="auto"/>
            </w:pPr>
            <w:r/>
            <w:r>
              <w:rPr>
                <w:rFonts w:ascii="Aptos" w:hAnsi="Aptos"/>
                <w:b w:val="0"/>
                <w:sz w:val="18"/>
              </w:rPr>
              <w:t>Provisional Working Draft</w:t>
            </w:r>
          </w:p>
        </w:tc>
      </w:tr>
      <w:tr>
        <w:tc>
          <w:tcPr>
            <w:tcW w:type="dxa" w:w="5083"/>
            <w:vAlign w:val="center"/>
            <w:shd w:fill="E5E7EB"/>
          </w:tcPr>
          <w:p>
            <w:pPr>
              <w:spacing w:after="0" w:before="0" w:line="240" w:lineRule="auto"/>
            </w:pPr>
            <w:r/>
            <w:r>
              <w:rPr>
                <w:rFonts w:ascii="Aptos" w:hAnsi="Aptos"/>
                <w:b/>
                <w:sz w:val="18"/>
              </w:rPr>
              <w:t>Entity</w:t>
            </w:r>
          </w:p>
        </w:tc>
        <w:tc>
          <w:tcPr>
            <w:tcW w:type="dxa" w:w="5083"/>
            <w:vAlign w:val="center"/>
          </w:tcPr>
          <w:p>
            <w:pPr>
              <w:spacing w:after="0" w:before="0" w:line="240" w:lineRule="auto"/>
            </w:pPr>
            <w:r/>
            <w:r>
              <w:rPr>
                <w:rFonts w:ascii="Aptos" w:hAnsi="Aptos"/>
                <w:b w:val="0"/>
                <w:sz w:val="18"/>
              </w:rPr>
              <w:t>[[CORP_NAME]]</w:t>
            </w:r>
          </w:p>
        </w:tc>
      </w:tr>
      <w:tr>
        <w:tc>
          <w:tcPr>
            <w:tcW w:type="dxa" w:w="5083"/>
            <w:vAlign w:val="center"/>
            <w:shd w:fill="E5E7EB"/>
          </w:tcPr>
          <w:p>
            <w:pPr>
              <w:spacing w:after="0" w:before="0" w:line="240" w:lineRule="auto"/>
            </w:pPr>
            <w:r/>
            <w:r>
              <w:rPr>
                <w:rFonts w:ascii="Aptos" w:hAnsi="Aptos"/>
                <w:b/>
                <w:sz w:val="18"/>
              </w:rPr>
              <w:t>Adoption</w:t>
            </w:r>
          </w:p>
        </w:tc>
        <w:tc>
          <w:tcPr>
            <w:tcW w:type="dxa" w:w="5083"/>
            <w:vAlign w:val="center"/>
          </w:tcPr>
          <w:p>
            <w:pPr>
              <w:spacing w:after="0" w:before="0" w:line="240" w:lineRule="auto"/>
            </w:pPr>
            <w:r/>
            <w:r>
              <w:rPr>
                <w:rFonts w:ascii="Aptos" w:hAnsi="Aptos"/>
                <w:b w:val="0"/>
                <w:sz w:val="18"/>
              </w:rPr>
              <w:t>Not effective until validly adopted</w:t>
            </w:r>
          </w:p>
        </w:tc>
      </w:tr>
    </w:tbl>
    <w:p>
      <w:pPr>
        <w:spacing w:after="0" w:line="240" w:lineRule="auto"/>
      </w:pPr>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Purpose</w:t>
      </w:r>
    </w:p>
    <w:p>
      <w:pPr>
        <w:spacing w:after="0" w:line="240" w:lineRule="auto"/>
      </w:pPr>
      <w:r>
        <w:t>The organization shall maintain financial statements adequate for governance, donor restriction tracking, tax filings, and reconstruction of financial activity. This standard does not label statements audited, reviewed, compiled, GAAP-compliant, or otherwise professionally assured unless that engagement and basis actually exist.</w:t>
      </w:r>
    </w:p>
    <w:p>
      <w:pPr>
        <w:pStyle w:val="Heading1"/>
      </w:pPr>
      <w:r>
        <w:t>Core Management Reports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0" w:before="0" w:line="240" w:lineRule="auto"/>
            </w:pPr>
            <w:r/>
            <w:r>
              <w:rPr>
                <w:rFonts w:ascii="Aptos" w:hAnsi="Aptos"/>
                <w:b/>
                <w:color w:val="FFFFFF"/>
                <w:sz w:val="18"/>
              </w:rPr>
              <w:t>Report</w:t>
            </w:r>
          </w:p>
        </w:tc>
        <w:tc>
          <w:tcPr>
            <w:tcW w:type="dxa" w:w="3389"/>
            <w:vAlign w:val="center"/>
            <w:shd w:fill="1F4E79"/>
          </w:tcPr>
          <w:p>
            <w:pPr>
              <w:spacing w:after="0" w:before="0" w:line="240" w:lineRule="auto"/>
            </w:pPr>
            <w:r/>
            <w:r>
              <w:rPr>
                <w:rFonts w:ascii="Aptos" w:hAnsi="Aptos"/>
                <w:b/>
                <w:color w:val="FFFFFF"/>
                <w:sz w:val="18"/>
              </w:rPr>
              <w:t>Minimum Content</w:t>
            </w:r>
          </w:p>
        </w:tc>
        <w:tc>
          <w:tcPr>
            <w:tcW w:type="dxa" w:w="3389"/>
            <w:vAlign w:val="center"/>
            <w:shd w:fill="1F4E79"/>
          </w:tcPr>
          <w:p>
            <w:pPr>
              <w:spacing w:after="0" w:before="0" w:line="240" w:lineRule="auto"/>
            </w:pPr>
            <w:r/>
            <w:r>
              <w:rPr>
                <w:rFonts w:ascii="Aptos" w:hAnsi="Aptos"/>
                <w:b/>
                <w:color w:val="FFFFFF"/>
                <w:sz w:val="18"/>
              </w:rPr>
              <w:t>Frequency</w:t>
            </w:r>
          </w:p>
        </w:tc>
      </w:tr>
      <w:tr>
        <w:trPr>
          <w:cantSplit/>
        </w:trPr>
        <w:tc>
          <w:tcPr>
            <w:tcW w:type="dxa" w:w="3389"/>
            <w:vAlign w:val="center"/>
          </w:tcPr>
          <w:p>
            <w:pPr>
              <w:spacing w:after="0" w:before="0" w:line="240" w:lineRule="auto"/>
            </w:pPr>
            <w:r/>
            <w:r>
              <w:rPr>
                <w:rFonts w:ascii="Aptos" w:hAnsi="Aptos"/>
                <w:b w:val="0"/>
                <w:sz w:val="18"/>
              </w:rPr>
              <w:t>Statement of Activities</w:t>
            </w:r>
          </w:p>
        </w:tc>
        <w:tc>
          <w:tcPr>
            <w:tcW w:type="dxa" w:w="3389"/>
            <w:vAlign w:val="center"/>
          </w:tcPr>
          <w:p>
            <w:pPr>
              <w:spacing w:after="0" w:before="0" w:line="240" w:lineRule="auto"/>
            </w:pPr>
            <w:r/>
            <w:r>
              <w:rPr>
                <w:rFonts w:ascii="Aptos" w:hAnsi="Aptos"/>
                <w:b w:val="0"/>
                <w:sz w:val="18"/>
              </w:rPr>
              <w:t>Revenue/support, releases of restrictions if tracked, expenses, change in net assets / operating result</w:t>
            </w:r>
          </w:p>
        </w:tc>
        <w:tc>
          <w:tcPr>
            <w:tcW w:type="dxa" w:w="3389"/>
            <w:vAlign w:val="center"/>
          </w:tcPr>
          <w:p>
            <w:pPr>
              <w:spacing w:after="0" w:before="0" w:line="240" w:lineRule="auto"/>
            </w:pPr>
            <w:r/>
            <w:r>
              <w:rPr>
                <w:rFonts w:ascii="Aptos" w:hAnsi="Aptos"/>
                <w:b w:val="0"/>
                <w:sz w:val="18"/>
              </w:rPr>
              <w:t>Monthly or quarterly</w:t>
            </w:r>
          </w:p>
        </w:tc>
      </w:tr>
      <w:tr>
        <w:trPr>
          <w:cantSplit/>
        </w:trPr>
        <w:tc>
          <w:tcPr>
            <w:tcW w:type="dxa" w:w="3389"/>
            <w:vAlign w:val="center"/>
          </w:tcPr>
          <w:p>
            <w:pPr>
              <w:spacing w:after="0" w:before="0" w:line="240" w:lineRule="auto"/>
            </w:pPr>
            <w:r/>
            <w:r>
              <w:rPr>
                <w:rFonts w:ascii="Aptos" w:hAnsi="Aptos"/>
                <w:b w:val="0"/>
                <w:sz w:val="18"/>
              </w:rPr>
              <w:t>Statement of Financial Position</w:t>
            </w:r>
          </w:p>
        </w:tc>
        <w:tc>
          <w:tcPr>
            <w:tcW w:type="dxa" w:w="3389"/>
            <w:vAlign w:val="center"/>
          </w:tcPr>
          <w:p>
            <w:pPr>
              <w:spacing w:after="0" w:before="0" w:line="240" w:lineRule="auto"/>
            </w:pPr>
            <w:r/>
            <w:r>
              <w:rPr>
                <w:rFonts w:ascii="Aptos" w:hAnsi="Aptos"/>
                <w:b w:val="0"/>
                <w:sz w:val="18"/>
              </w:rPr>
              <w:t>Cash, receivables, property, other assets, liabilities, net assets/fund balances</w:t>
            </w:r>
          </w:p>
        </w:tc>
        <w:tc>
          <w:tcPr>
            <w:tcW w:type="dxa" w:w="3389"/>
            <w:vAlign w:val="center"/>
          </w:tcPr>
          <w:p>
            <w:pPr>
              <w:spacing w:after="0" w:before="0" w:line="240" w:lineRule="auto"/>
            </w:pPr>
            <w:r/>
            <w:r>
              <w:rPr>
                <w:rFonts w:ascii="Aptos" w:hAnsi="Aptos"/>
                <w:b w:val="0"/>
                <w:sz w:val="18"/>
              </w:rPr>
              <w:t>Monthly or quarterly</w:t>
            </w:r>
          </w:p>
        </w:tc>
      </w:tr>
      <w:tr>
        <w:trPr>
          <w:cantSplit/>
        </w:trPr>
        <w:tc>
          <w:tcPr>
            <w:tcW w:type="dxa" w:w="3389"/>
            <w:vAlign w:val="center"/>
          </w:tcPr>
          <w:p>
            <w:pPr>
              <w:spacing w:after="0" w:before="0" w:line="240" w:lineRule="auto"/>
            </w:pPr>
            <w:r/>
            <w:r>
              <w:rPr>
                <w:rFonts w:ascii="Aptos" w:hAnsi="Aptos"/>
                <w:b w:val="0"/>
                <w:sz w:val="18"/>
              </w:rPr>
              <w:t>Budget-to-Actual</w:t>
            </w:r>
          </w:p>
        </w:tc>
        <w:tc>
          <w:tcPr>
            <w:tcW w:type="dxa" w:w="3389"/>
            <w:vAlign w:val="center"/>
          </w:tcPr>
          <w:p>
            <w:pPr>
              <w:spacing w:after="0" w:before="0" w:line="240" w:lineRule="auto"/>
            </w:pPr>
            <w:r/>
            <w:r>
              <w:rPr>
                <w:rFonts w:ascii="Aptos" w:hAnsi="Aptos"/>
                <w:b w:val="0"/>
                <w:sz w:val="18"/>
              </w:rPr>
              <w:t>Current period and year-to-date budget, actual, variance, explanation</w:t>
            </w:r>
          </w:p>
        </w:tc>
        <w:tc>
          <w:tcPr>
            <w:tcW w:type="dxa" w:w="3389"/>
            <w:vAlign w:val="center"/>
          </w:tcPr>
          <w:p>
            <w:pPr>
              <w:spacing w:after="0" w:before="0" w:line="240" w:lineRule="auto"/>
            </w:pPr>
            <w:r/>
            <w:r>
              <w:rPr>
                <w:rFonts w:ascii="Aptos" w:hAnsi="Aptos"/>
                <w:b w:val="0"/>
                <w:sz w:val="18"/>
              </w:rPr>
              <w:t>Monthly or quarterly</w:t>
            </w:r>
          </w:p>
        </w:tc>
      </w:tr>
      <w:tr>
        <w:trPr>
          <w:cantSplit/>
        </w:trPr>
        <w:tc>
          <w:tcPr>
            <w:tcW w:type="dxa" w:w="3389"/>
            <w:vAlign w:val="center"/>
          </w:tcPr>
          <w:p>
            <w:pPr>
              <w:spacing w:after="0" w:before="0" w:line="240" w:lineRule="auto"/>
            </w:pPr>
            <w:r/>
            <w:r>
              <w:rPr>
                <w:rFonts w:ascii="Aptos" w:hAnsi="Aptos"/>
                <w:b w:val="0"/>
                <w:sz w:val="18"/>
              </w:rPr>
              <w:t>Cash / Bank Reconciliation</w:t>
            </w:r>
          </w:p>
        </w:tc>
        <w:tc>
          <w:tcPr>
            <w:tcW w:type="dxa" w:w="3389"/>
            <w:vAlign w:val="center"/>
          </w:tcPr>
          <w:p>
            <w:pPr>
              <w:spacing w:after="0" w:before="0" w:line="240" w:lineRule="auto"/>
            </w:pPr>
            <w:r/>
            <w:r>
              <w:rPr>
                <w:rFonts w:ascii="Aptos" w:hAnsi="Aptos"/>
                <w:b w:val="0"/>
                <w:sz w:val="18"/>
              </w:rPr>
              <w:t>Statement balance, outstanding items, ledger balance, reviewer</w:t>
            </w:r>
          </w:p>
        </w:tc>
        <w:tc>
          <w:tcPr>
            <w:tcW w:type="dxa" w:w="3389"/>
            <w:vAlign w:val="center"/>
          </w:tcPr>
          <w:p>
            <w:pPr>
              <w:spacing w:after="0" w:before="0" w:line="240" w:lineRule="auto"/>
            </w:pPr>
            <w:r/>
            <w:r>
              <w:rPr>
                <w:rFonts w:ascii="Aptos" w:hAnsi="Aptos"/>
                <w:b w:val="0"/>
                <w:sz w:val="18"/>
              </w:rPr>
              <w:t>Monthly</w:t>
            </w:r>
          </w:p>
        </w:tc>
      </w:tr>
      <w:tr>
        <w:trPr>
          <w:cantSplit/>
        </w:trPr>
        <w:tc>
          <w:tcPr>
            <w:tcW w:type="dxa" w:w="3389"/>
            <w:vAlign w:val="center"/>
          </w:tcPr>
          <w:p>
            <w:pPr>
              <w:spacing w:after="0" w:before="0" w:line="240" w:lineRule="auto"/>
            </w:pPr>
            <w:r/>
            <w:r>
              <w:rPr>
                <w:rFonts w:ascii="Aptos" w:hAnsi="Aptos"/>
                <w:b w:val="0"/>
                <w:sz w:val="18"/>
              </w:rPr>
              <w:t>Restricted Fund Report</w:t>
            </w:r>
          </w:p>
        </w:tc>
        <w:tc>
          <w:tcPr>
            <w:tcW w:type="dxa" w:w="3389"/>
            <w:vAlign w:val="center"/>
          </w:tcPr>
          <w:p>
            <w:pPr>
              <w:spacing w:after="0" w:before="0" w:line="240" w:lineRule="auto"/>
            </w:pPr>
            <w:r/>
            <w:r>
              <w:rPr>
                <w:rFonts w:ascii="Aptos" w:hAnsi="Aptos"/>
                <w:b w:val="0"/>
                <w:sz w:val="18"/>
              </w:rPr>
              <w:t>Opening balance, gifts, releases/expenses, closing balance by restriction</w:t>
            </w:r>
          </w:p>
        </w:tc>
        <w:tc>
          <w:tcPr>
            <w:tcW w:type="dxa" w:w="3389"/>
            <w:vAlign w:val="center"/>
          </w:tcPr>
          <w:p>
            <w:pPr>
              <w:spacing w:after="0" w:before="0" w:line="240" w:lineRule="auto"/>
            </w:pPr>
            <w:r/>
            <w:r>
              <w:rPr>
                <w:rFonts w:ascii="Aptos" w:hAnsi="Aptos"/>
                <w:b w:val="0"/>
                <w:sz w:val="18"/>
              </w:rPr>
              <w:t>Monthly/quarterly when applicable</w:t>
            </w:r>
          </w:p>
        </w:tc>
      </w:tr>
      <w:tr>
        <w:trPr>
          <w:cantSplit/>
        </w:trPr>
        <w:tc>
          <w:tcPr>
            <w:tcW w:type="dxa" w:w="3389"/>
            <w:vAlign w:val="center"/>
          </w:tcPr>
          <w:p>
            <w:pPr>
              <w:spacing w:after="0" w:before="0" w:line="240" w:lineRule="auto"/>
            </w:pPr>
            <w:r/>
            <w:r>
              <w:rPr>
                <w:rFonts w:ascii="Aptos" w:hAnsi="Aptos"/>
                <w:b w:val="0"/>
                <w:sz w:val="18"/>
              </w:rPr>
              <w:t>Related-Party Report</w:t>
            </w:r>
          </w:p>
        </w:tc>
        <w:tc>
          <w:tcPr>
            <w:tcW w:type="dxa" w:w="3389"/>
            <w:vAlign w:val="center"/>
          </w:tcPr>
          <w:p>
            <w:pPr>
              <w:spacing w:after="0" w:before="0" w:line="240" w:lineRule="auto"/>
            </w:pPr>
            <w:r/>
            <w:r>
              <w:rPr>
                <w:rFonts w:ascii="Aptos" w:hAnsi="Aptos"/>
                <w:b w:val="0"/>
                <w:sz w:val="18"/>
              </w:rPr>
              <w:t>All insider transactions and outstanding balances</w:t>
            </w:r>
          </w:p>
        </w:tc>
        <w:tc>
          <w:tcPr>
            <w:tcW w:type="dxa" w:w="3389"/>
            <w:vAlign w:val="center"/>
          </w:tcPr>
          <w:p>
            <w:pPr>
              <w:spacing w:after="0" w:before="0" w:line="240" w:lineRule="auto"/>
            </w:pPr>
            <w:r/>
            <w:r>
              <w:rPr>
                <w:rFonts w:ascii="Aptos" w:hAnsi="Aptos"/>
                <w:b w:val="0"/>
                <w:sz w:val="18"/>
              </w:rPr>
              <w:t>At least quarterly</w:t>
            </w:r>
          </w:p>
        </w:tc>
      </w:tr>
      <w:tr>
        <w:trPr>
          <w:cantSplit/>
        </w:trPr>
        <w:tc>
          <w:tcPr>
            <w:tcW w:type="dxa" w:w="3389"/>
            <w:vAlign w:val="center"/>
          </w:tcPr>
          <w:p>
            <w:pPr>
              <w:spacing w:after="0" w:before="0" w:line="240" w:lineRule="auto"/>
            </w:pPr>
            <w:r/>
            <w:r>
              <w:rPr>
                <w:rFonts w:ascii="Aptos" w:hAnsi="Aptos"/>
                <w:b w:val="0"/>
                <w:sz w:val="18"/>
              </w:rPr>
              <w:t>Board Financial Dashboard</w:t>
            </w:r>
          </w:p>
        </w:tc>
        <w:tc>
          <w:tcPr>
            <w:tcW w:type="dxa" w:w="3389"/>
            <w:vAlign w:val="center"/>
          </w:tcPr>
          <w:p>
            <w:pPr>
              <w:spacing w:after="0" w:before="0" w:line="240" w:lineRule="auto"/>
            </w:pPr>
            <w:r/>
            <w:r>
              <w:rPr>
                <w:rFonts w:ascii="Aptos" w:hAnsi="Aptos"/>
                <w:b w:val="0"/>
                <w:sz w:val="18"/>
              </w:rPr>
              <w:t>Liquidity, major obligations, revenue concentration, restricted funds, budget variance</w:t>
            </w:r>
          </w:p>
        </w:tc>
        <w:tc>
          <w:tcPr>
            <w:tcW w:type="dxa" w:w="3389"/>
            <w:vAlign w:val="center"/>
          </w:tcPr>
          <w:p>
            <w:pPr>
              <w:spacing w:after="0" w:before="0" w:line="240" w:lineRule="auto"/>
            </w:pPr>
            <w:r/>
            <w:r>
              <w:rPr>
                <w:rFonts w:ascii="Aptos" w:hAnsi="Aptos"/>
                <w:b w:val="0"/>
                <w:sz w:val="18"/>
              </w:rPr>
              <w:t>Quarterly</w:t>
            </w:r>
          </w:p>
        </w:tc>
      </w:tr>
    </w:tbl>
    <w:p>
      <w:pPr>
        <w:pStyle w:val="Heading1"/>
      </w:pPr>
      <w:r>
        <w:t>Statement of Activities Template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0" w:before="0" w:line="240" w:lineRule="auto"/>
            </w:pPr>
            <w:r/>
            <w:r>
              <w:rPr>
                <w:rFonts w:ascii="Aptos" w:hAnsi="Aptos"/>
                <w:b/>
                <w:color w:val="FFFFFF"/>
                <w:sz w:val="18"/>
              </w:rPr>
              <w:t>Line</w:t>
            </w:r>
          </w:p>
        </w:tc>
        <w:tc>
          <w:tcPr>
            <w:tcW w:type="dxa" w:w="3389"/>
            <w:vAlign w:val="center"/>
            <w:shd w:fill="1F4E79"/>
          </w:tcPr>
          <w:p>
            <w:pPr>
              <w:spacing w:after="0" w:before="0" w:line="240" w:lineRule="auto"/>
            </w:pPr>
            <w:r/>
            <w:r>
              <w:rPr>
                <w:rFonts w:ascii="Aptos" w:hAnsi="Aptos"/>
                <w:b/>
                <w:color w:val="FFFFFF"/>
                <w:sz w:val="18"/>
              </w:rPr>
              <w:t>Current Period</w:t>
            </w:r>
          </w:p>
        </w:tc>
        <w:tc>
          <w:tcPr>
            <w:tcW w:type="dxa" w:w="3389"/>
            <w:vAlign w:val="center"/>
            <w:shd w:fill="1F4E79"/>
          </w:tcPr>
          <w:p>
            <w:pPr>
              <w:spacing w:after="0" w:before="0" w:line="240" w:lineRule="auto"/>
            </w:pPr>
            <w:r/>
            <w:r>
              <w:rPr>
                <w:rFonts w:ascii="Aptos" w:hAnsi="Aptos"/>
                <w:b/>
                <w:color w:val="FFFFFF"/>
                <w:sz w:val="18"/>
              </w:rPr>
              <w:t>Year to Date</w:t>
            </w:r>
          </w:p>
        </w:tc>
      </w:tr>
      <w:tr>
        <w:trPr>
          <w:cantSplit/>
        </w:trPr>
        <w:tc>
          <w:tcPr>
            <w:tcW w:type="dxa" w:w="3389"/>
            <w:vAlign w:val="center"/>
          </w:tcPr>
          <w:p>
            <w:pPr>
              <w:spacing w:after="0" w:before="0" w:line="240" w:lineRule="auto"/>
            </w:pPr>
            <w:r/>
            <w:r>
              <w:rPr>
                <w:rFonts w:ascii="Aptos" w:hAnsi="Aptos"/>
                <w:b w:val="0"/>
                <w:sz w:val="18"/>
              </w:rPr>
              <w:t>Unrestricted contributions</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Restricted contributions</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Other exempt-purpose revenue</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Total support and revenue</w:t>
            </w:r>
          </w:p>
        </w:tc>
        <w:tc>
          <w:tcPr>
            <w:tcW w:type="dxa" w:w="3389"/>
            <w:vAlign w:val="center"/>
          </w:tcPr>
          <w:p>
            <w:pPr>
              <w:spacing w:after="0" w:before="0" w:line="240" w:lineRule="auto"/>
            </w:pPr>
            <w:r/>
            <w:r>
              <w:rPr>
                <w:rFonts w:ascii="Aptos" w:hAnsi="Aptos"/>
                <w:b w:val="0"/>
                <w:sz w:val="18"/>
              </w:rPr>
              <w:t>[[FORMULA]]</w:t>
            </w:r>
          </w:p>
        </w:tc>
        <w:tc>
          <w:tcPr>
            <w:tcW w:type="dxa" w:w="3389"/>
            <w:vAlign w:val="center"/>
          </w:tcPr>
          <w:p>
            <w:pPr>
              <w:spacing w:after="0" w:before="0" w:line="240" w:lineRule="auto"/>
            </w:pPr>
            <w:r/>
            <w:r>
              <w:rPr>
                <w:rFonts w:ascii="Aptos" w:hAnsi="Aptos"/>
                <w:b w:val="0"/>
                <w:sz w:val="18"/>
              </w:rPr>
              <w:t>[[FORMULA]]</w:t>
            </w:r>
          </w:p>
        </w:tc>
      </w:tr>
      <w:tr>
        <w:trPr>
          <w:cantSplit/>
        </w:trPr>
        <w:tc>
          <w:tcPr>
            <w:tcW w:type="dxa" w:w="3389"/>
            <w:vAlign w:val="center"/>
          </w:tcPr>
          <w:p>
            <w:pPr>
              <w:spacing w:after="0" w:before="0" w:line="240" w:lineRule="auto"/>
            </w:pPr>
            <w:r/>
            <w:r>
              <w:rPr>
                <w:rFonts w:ascii="Aptos" w:hAnsi="Aptos"/>
                <w:b w:val="0"/>
                <w:sz w:val="18"/>
              </w:rPr>
              <w:t>Worship / ministry expense</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Education expense</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Administration</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Fundraising</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Other expense</w:t>
            </w:r>
          </w:p>
        </w:tc>
        <w:tc>
          <w:tcPr>
            <w:tcW w:type="dxa" w:w="3389"/>
            <w:vAlign w:val="center"/>
          </w:tcPr>
          <w:p>
            <w:pPr>
              <w:spacing w:after="0" w:before="0" w:line="240" w:lineRule="auto"/>
            </w:pPr>
            <w:r/>
            <w:r>
              <w:rPr>
                <w:rFonts w:ascii="Aptos" w:hAnsi="Aptos"/>
                <w:b w:val="0"/>
                <w:sz w:val="18"/>
              </w:rPr>
              <w:t>[[AMOUNT]]</w:t>
            </w:r>
          </w:p>
        </w:tc>
        <w:tc>
          <w:tcPr>
            <w:tcW w:type="dxa" w:w="3389"/>
            <w:vAlign w:val="center"/>
          </w:tcPr>
          <w:p>
            <w:pPr>
              <w:spacing w:after="0" w:before="0" w:line="240" w:lineRule="auto"/>
            </w:pPr>
            <w:r/>
            <w:r>
              <w:rPr>
                <w:rFonts w:ascii="Aptos" w:hAnsi="Aptos"/>
                <w:b w:val="0"/>
                <w:sz w:val="18"/>
              </w:rPr>
              <w:t>[[AMOUNT]]</w:t>
            </w:r>
          </w:p>
        </w:tc>
      </w:tr>
      <w:tr>
        <w:trPr>
          <w:cantSplit/>
        </w:trPr>
        <w:tc>
          <w:tcPr>
            <w:tcW w:type="dxa" w:w="3389"/>
            <w:vAlign w:val="center"/>
          </w:tcPr>
          <w:p>
            <w:pPr>
              <w:spacing w:after="0" w:before="0" w:line="240" w:lineRule="auto"/>
            </w:pPr>
            <w:r/>
            <w:r>
              <w:rPr>
                <w:rFonts w:ascii="Aptos" w:hAnsi="Aptos"/>
                <w:b w:val="0"/>
                <w:sz w:val="18"/>
              </w:rPr>
              <w:t>Total expense</w:t>
            </w:r>
          </w:p>
        </w:tc>
        <w:tc>
          <w:tcPr>
            <w:tcW w:type="dxa" w:w="3389"/>
            <w:vAlign w:val="center"/>
          </w:tcPr>
          <w:p>
            <w:pPr>
              <w:spacing w:after="0" w:before="0" w:line="240" w:lineRule="auto"/>
            </w:pPr>
            <w:r/>
            <w:r>
              <w:rPr>
                <w:rFonts w:ascii="Aptos" w:hAnsi="Aptos"/>
                <w:b w:val="0"/>
                <w:sz w:val="18"/>
              </w:rPr>
              <w:t>[[FORMULA]]</w:t>
            </w:r>
          </w:p>
        </w:tc>
        <w:tc>
          <w:tcPr>
            <w:tcW w:type="dxa" w:w="3389"/>
            <w:vAlign w:val="center"/>
          </w:tcPr>
          <w:p>
            <w:pPr>
              <w:spacing w:after="0" w:before="0" w:line="240" w:lineRule="auto"/>
            </w:pPr>
            <w:r/>
            <w:r>
              <w:rPr>
                <w:rFonts w:ascii="Aptos" w:hAnsi="Aptos"/>
                <w:b w:val="0"/>
                <w:sz w:val="18"/>
              </w:rPr>
              <w:t>[[FORMULA]]</w:t>
            </w:r>
          </w:p>
        </w:tc>
      </w:tr>
      <w:tr>
        <w:trPr>
          <w:cantSplit/>
        </w:trPr>
        <w:tc>
          <w:tcPr>
            <w:tcW w:type="dxa" w:w="3389"/>
            <w:vAlign w:val="center"/>
          </w:tcPr>
          <w:p>
            <w:pPr>
              <w:spacing w:after="0" w:before="0" w:line="240" w:lineRule="auto"/>
            </w:pPr>
            <w:r/>
            <w:r>
              <w:rPr>
                <w:rFonts w:ascii="Aptos" w:hAnsi="Aptos"/>
                <w:b w:val="0"/>
                <w:sz w:val="18"/>
              </w:rPr>
              <w:t>Change in net assets / operating result</w:t>
            </w:r>
          </w:p>
        </w:tc>
        <w:tc>
          <w:tcPr>
            <w:tcW w:type="dxa" w:w="3389"/>
            <w:vAlign w:val="center"/>
          </w:tcPr>
          <w:p>
            <w:pPr>
              <w:spacing w:after="0" w:before="0" w:line="240" w:lineRule="auto"/>
            </w:pPr>
            <w:r/>
            <w:r>
              <w:rPr>
                <w:rFonts w:ascii="Aptos" w:hAnsi="Aptos"/>
                <w:b w:val="0"/>
                <w:sz w:val="18"/>
              </w:rPr>
              <w:t>[[FORMULA]]</w:t>
            </w:r>
          </w:p>
        </w:tc>
        <w:tc>
          <w:tcPr>
            <w:tcW w:type="dxa" w:w="3389"/>
            <w:vAlign w:val="center"/>
          </w:tcPr>
          <w:p>
            <w:pPr>
              <w:spacing w:after="0" w:before="0" w:line="240" w:lineRule="auto"/>
            </w:pPr>
            <w:r/>
            <w:r>
              <w:rPr>
                <w:rFonts w:ascii="Aptos" w:hAnsi="Aptos"/>
                <w:b w:val="0"/>
                <w:sz w:val="18"/>
              </w:rPr>
              <w:t>[[FORMULA]]</w:t>
            </w:r>
          </w:p>
        </w:tc>
      </w:tr>
    </w:tbl>
    <w:p>
      <w:pPr>
        <w:pStyle w:val="Heading1"/>
      </w:pPr>
      <w:r>
        <w:t>Statement of Financial Position Template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0" w:before="0" w:line="240" w:lineRule="auto"/>
            </w:pPr>
            <w:r/>
            <w:r>
              <w:rPr>
                <w:rFonts w:ascii="Aptos" w:hAnsi="Aptos"/>
                <w:b/>
                <w:color w:val="FFFFFF"/>
                <w:sz w:val="18"/>
              </w:rPr>
              <w:t>Line</w:t>
            </w:r>
          </w:p>
        </w:tc>
        <w:tc>
          <w:tcPr>
            <w:tcW w:type="dxa" w:w="5083"/>
            <w:vAlign w:val="center"/>
            <w:shd w:fill="1F4E79"/>
          </w:tcPr>
          <w:p>
            <w:pPr>
              <w:spacing w:after="0" w:before="0" w:line="240" w:lineRule="auto"/>
            </w:pPr>
            <w:r/>
            <w:r>
              <w:rPr>
                <w:rFonts w:ascii="Aptos" w:hAnsi="Aptos"/>
                <w:b/>
                <w:color w:val="FFFFFF"/>
                <w:sz w:val="18"/>
              </w:rPr>
              <w:t>Period End</w:t>
            </w:r>
          </w:p>
        </w:tc>
      </w:tr>
      <w:tr>
        <w:trPr>
          <w:cantSplit/>
        </w:trPr>
        <w:tc>
          <w:tcPr>
            <w:tcW w:type="dxa" w:w="5083"/>
            <w:vAlign w:val="center"/>
          </w:tcPr>
          <w:p>
            <w:pPr>
              <w:spacing w:after="0" w:before="0" w:line="240" w:lineRule="auto"/>
            </w:pPr>
            <w:r/>
            <w:r>
              <w:rPr>
                <w:rFonts w:ascii="Aptos" w:hAnsi="Aptos"/>
                <w:b w:val="0"/>
                <w:sz w:val="18"/>
              </w:rPr>
              <w:t>Cash and cash equivalents</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Receivables</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Property / equipment, net</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Other assets</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Total assets</w:t>
            </w:r>
          </w:p>
        </w:tc>
        <w:tc>
          <w:tcPr>
            <w:tcW w:type="dxa" w:w="5083"/>
            <w:vAlign w:val="center"/>
          </w:tcPr>
          <w:p>
            <w:pPr>
              <w:spacing w:after="0" w:before="0" w:line="240" w:lineRule="auto"/>
            </w:pPr>
            <w:r/>
            <w:r>
              <w:rPr>
                <w:rFonts w:ascii="Aptos" w:hAnsi="Aptos"/>
                <w:b w:val="0"/>
                <w:sz w:val="18"/>
              </w:rPr>
              <w:t>[[FORMULA]]</w:t>
            </w:r>
          </w:p>
        </w:tc>
      </w:tr>
      <w:tr>
        <w:trPr>
          <w:cantSplit/>
        </w:trPr>
        <w:tc>
          <w:tcPr>
            <w:tcW w:type="dxa" w:w="5083"/>
            <w:vAlign w:val="center"/>
          </w:tcPr>
          <w:p>
            <w:pPr>
              <w:spacing w:after="0" w:before="0" w:line="240" w:lineRule="auto"/>
            </w:pPr>
            <w:r/>
            <w:r>
              <w:rPr>
                <w:rFonts w:ascii="Aptos" w:hAnsi="Aptos"/>
                <w:b w:val="0"/>
                <w:sz w:val="18"/>
              </w:rPr>
              <w:t>Accounts payable / accrued expenses</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Debt / other liabilities</w:t>
            </w:r>
          </w:p>
        </w:tc>
        <w:tc>
          <w:tcPr>
            <w:tcW w:type="dxa" w:w="5083"/>
            <w:vAlign w:val="center"/>
          </w:tcPr>
          <w:p>
            <w:pPr>
              <w:spacing w:after="0" w:before="0" w:line="240" w:lineRule="auto"/>
            </w:pPr>
            <w:r/>
            <w:r>
              <w:rPr>
                <w:rFonts w:ascii="Aptos" w:hAnsi="Aptos"/>
                <w:b w:val="0"/>
                <w:sz w:val="18"/>
              </w:rPr>
              <w:t>[[AMOUNT]]</w:t>
            </w:r>
          </w:p>
        </w:tc>
      </w:tr>
      <w:tr>
        <w:trPr>
          <w:cantSplit/>
        </w:trPr>
        <w:tc>
          <w:tcPr>
            <w:tcW w:type="dxa" w:w="5083"/>
            <w:vAlign w:val="center"/>
          </w:tcPr>
          <w:p>
            <w:pPr>
              <w:spacing w:after="0" w:before="0" w:line="240" w:lineRule="auto"/>
            </w:pPr>
            <w:r/>
            <w:r>
              <w:rPr>
                <w:rFonts w:ascii="Aptos" w:hAnsi="Aptos"/>
                <w:b w:val="0"/>
                <w:sz w:val="18"/>
              </w:rPr>
              <w:t>Total liabilities</w:t>
            </w:r>
          </w:p>
        </w:tc>
        <w:tc>
          <w:tcPr>
            <w:tcW w:type="dxa" w:w="5083"/>
            <w:vAlign w:val="center"/>
          </w:tcPr>
          <w:p>
            <w:pPr>
              <w:spacing w:after="0" w:before="0" w:line="240" w:lineRule="auto"/>
            </w:pPr>
            <w:r/>
            <w:r>
              <w:rPr>
                <w:rFonts w:ascii="Aptos" w:hAnsi="Aptos"/>
                <w:b w:val="0"/>
                <w:sz w:val="18"/>
              </w:rPr>
              <w:t>[[FORMULA]]</w:t>
            </w:r>
          </w:p>
        </w:tc>
      </w:tr>
      <w:tr>
        <w:trPr>
          <w:cantSplit/>
        </w:trPr>
        <w:tc>
          <w:tcPr>
            <w:tcW w:type="dxa" w:w="5083"/>
            <w:vAlign w:val="center"/>
          </w:tcPr>
          <w:p>
            <w:pPr>
              <w:spacing w:after="0" w:before="0" w:line="240" w:lineRule="auto"/>
            </w:pPr>
            <w:r/>
            <w:r>
              <w:rPr>
                <w:rFonts w:ascii="Aptos" w:hAnsi="Aptos"/>
                <w:b w:val="0"/>
                <w:sz w:val="18"/>
              </w:rPr>
              <w:t>Net assets / fund balances</w:t>
            </w:r>
          </w:p>
        </w:tc>
        <w:tc>
          <w:tcPr>
            <w:tcW w:type="dxa" w:w="5083"/>
            <w:vAlign w:val="center"/>
          </w:tcPr>
          <w:p>
            <w:pPr>
              <w:spacing w:after="0" w:before="0" w:line="240" w:lineRule="auto"/>
            </w:pPr>
            <w:r/>
            <w:r>
              <w:rPr>
                <w:rFonts w:ascii="Aptos" w:hAnsi="Aptos"/>
                <w:b w:val="0"/>
                <w:sz w:val="18"/>
              </w:rPr>
              <w:t>[[FORMULA]]</w:t>
            </w:r>
          </w:p>
        </w:tc>
      </w:tr>
      <w:tr>
        <w:trPr>
          <w:cantSplit/>
        </w:trPr>
        <w:tc>
          <w:tcPr>
            <w:tcW w:type="dxa" w:w="5083"/>
            <w:vAlign w:val="center"/>
          </w:tcPr>
          <w:p>
            <w:pPr>
              <w:spacing w:after="0" w:before="0" w:line="240" w:lineRule="auto"/>
            </w:pPr>
            <w:r/>
            <w:r>
              <w:rPr>
                <w:rFonts w:ascii="Aptos" w:hAnsi="Aptos"/>
                <w:b w:val="0"/>
                <w:sz w:val="18"/>
              </w:rPr>
              <w:t>Total liabilities and net assets</w:t>
            </w:r>
          </w:p>
        </w:tc>
        <w:tc>
          <w:tcPr>
            <w:tcW w:type="dxa" w:w="5083"/>
            <w:vAlign w:val="center"/>
          </w:tcPr>
          <w:p>
            <w:pPr>
              <w:spacing w:after="0" w:before="0" w:line="240" w:lineRule="auto"/>
            </w:pPr>
            <w:r/>
            <w:r>
              <w:rPr>
                <w:rFonts w:ascii="Aptos" w:hAnsi="Aptos"/>
                <w:b w:val="0"/>
                <w:sz w:val="18"/>
              </w:rPr>
              <w:t>[[FORMULA]]</w:t>
            </w:r>
          </w:p>
        </w:tc>
      </w:tr>
    </w:tbl>
    <w:p>
      <w:pPr>
        <w:pStyle w:val="Heading1"/>
      </w:pPr>
      <w:r>
        <w:t>Financial Close Procedure</w:t>
      </w:r>
    </w:p>
    <w:p>
      <w:pPr>
        <w:pStyle w:val="ListNumber"/>
      </w:pPr>
      <w:r>
        <w:t>Post or import all known transactions through period end.</w:t>
      </w:r>
    </w:p>
    <w:p>
      <w:pPr>
        <w:pStyle w:val="ListNumber"/>
      </w:pPr>
      <w:r>
        <w:t>Reconcile bank, processor, credit-card, and material balance-sheet accounts.</w:t>
      </w:r>
    </w:p>
    <w:p>
      <w:pPr>
        <w:pStyle w:val="ListNumber"/>
      </w:pPr>
      <w:r>
        <w:t>Review restricted-fund coding and releases.</w:t>
      </w:r>
    </w:p>
    <w:p>
      <w:pPr>
        <w:pStyle w:val="ListNumber"/>
        <w:spacing w:after="0" w:before="0" w:line="240" w:lineRule="auto"/>
      </w:pPr>
      <w:r>
        <w:t>Review unpaid bills, reimbursements, payroll/contractor obligations, and related-party items.</w:t>
      </w:r>
    </w:p>
    <w:p>
      <w:pPr>
        <w:pStyle w:val="ListNumber"/>
        <w:spacing w:after="0" w:before="0" w:line="240" w:lineRule="auto"/>
      </w:pPr>
      <w:r>
        <w:t>Generate management reports and investigate unusual balances or variances.</w:t>
      </w:r>
    </w:p>
    <w:p>
      <w:pPr>
        <w:pStyle w:val="ListNumber"/>
        <w:spacing w:after="0" w:before="0" w:line="240" w:lineRule="auto"/>
      </w:pPr>
      <w:r>
        <w:t>Document reviewer and date.</w:t>
      </w:r>
    </w:p>
    <w:p>
      <w:pPr>
        <w:pStyle w:val="ListNumber"/>
        <w:spacing w:after="0" w:before="0" w:line="240" w:lineRule="auto"/>
      </w:pPr>
      <w:r>
        <w:t>Preserve final period reports in the financial archive.</w:t>
      </w:r>
    </w:p>
    <w:p>
      <w:pPr>
        <w:pStyle w:val="Heading1"/>
        <w:spacing w:after="0" w:before="0" w:line="240" w:lineRule="auto"/>
      </w:pPr>
      <w:r>
        <w:t>Current Legal and Administrative References</w:t>
      </w:r>
    </w:p>
    <w:p>
      <w:pPr>
        <w:spacing w:after="0" w:before="0" w:line="240" w:lineRule="auto"/>
      </w:pPr>
      <w:r>
        <w:rPr>
          <w:b/>
        </w:rPr>
        <w:t xml:space="preserve">IRS operational recordkeeping requirements: </w:t>
      </w:r>
      <w:r>
        <w:t>https://www.irs.gov/charities-non-profits/eo-operational-requirements-recordkeeping-requirements-for-exempt-organizations</w:t>
      </w:r>
    </w:p>
    <w:p>
      <w:pPr>
        <w:spacing w:after="0" w:before="0" w:line="240" w:lineRule="auto"/>
      </w:pPr>
      <w:r>
        <w:rPr>
          <w:b/>
        </w:rPr>
        <w:t xml:space="preserve">IRS Form 1023 Instructions: </w:t>
      </w:r>
      <w:r>
        <w:t>https://www.irs.gov/instructions/i1023</w:t>
      </w:r>
    </w:p>
    <w:p>
      <w:pPr>
        <w:pStyle w:val="Heading1"/>
        <w:spacing w:after="0" w:before="0" w:line="240" w:lineRule="auto"/>
      </w:pPr>
      <w:r>
        <w:t>Adoption and Certification</w:t>
      </w:r>
    </w:p>
    <w:p>
      <w:pPr>
        <w:spacing w:after="0" w:before="0" w:line="240" w:lineRule="auto"/>
      </w:pPr>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pPr>
              <w:spacing w:after="0" w:before="0" w:line="240" w:lineRule="auto"/>
            </w:pPr>
            <w:r/>
            <w:r>
              <w:rPr>
                <w:rFonts w:ascii="Aptos" w:hAnsi="Aptos"/>
                <w:b/>
                <w:color w:val="FFFFFF"/>
                <w:sz w:val="18"/>
              </w:rPr>
              <w:t>Field</w:t>
            </w:r>
          </w:p>
        </w:tc>
        <w:tc>
          <w:tcPr>
            <w:tcW w:type="dxa" w:w="6480"/>
            <w:vAlign w:val="center"/>
            <w:shd w:fill="1F4E79"/>
          </w:tcPr>
          <w:p>
            <w:pPr>
              <w:spacing w:after="0" w:before="0" w:line="240" w:lineRule="auto"/>
            </w:pPr>
            <w:r/>
            <w:r>
              <w:rPr>
                <w:rFonts w:ascii="Aptos" w:hAnsi="Aptos"/>
                <w:b/>
                <w:color w:val="FFFFFF"/>
                <w:sz w:val="18"/>
              </w:rPr>
              <w:t>Entry</w:t>
            </w:r>
          </w:p>
        </w:tc>
      </w:tr>
      <w:tr>
        <w:trPr>
          <w:cantSplit/>
        </w:trPr>
        <w:tc>
          <w:tcPr>
            <w:tcW w:type="dxa" w:w="2880"/>
            <w:vAlign w:val="center"/>
          </w:tcPr>
          <w:p>
            <w:pPr>
              <w:spacing w:after="0" w:before="0" w:line="240" w:lineRule="auto"/>
            </w:pPr>
            <w:r/>
            <w:r>
              <w:rPr>
                <w:rFonts w:ascii="Aptos" w:hAnsi="Aptos"/>
                <w:b w:val="0"/>
                <w:sz w:val="18"/>
              </w:rPr>
              <w:t>Organization</w:t>
            </w:r>
          </w:p>
        </w:tc>
        <w:tc>
          <w:tcPr>
            <w:tcW w:type="dxa" w:w="6480"/>
            <w:vAlign w:val="center"/>
          </w:tcPr>
          <w:p>
            <w:pPr>
              <w:spacing w:after="0" w:before="0" w:line="240" w:lineRule="auto"/>
            </w:pPr>
            <w:r/>
            <w:r>
              <w:rPr>
                <w:rFonts w:ascii="Aptos" w:hAnsi="Aptos"/>
                <w:b w:val="0"/>
                <w:sz w:val="18"/>
              </w:rPr>
              <w:t>[[CORP_NAME]]</w:t>
            </w:r>
          </w:p>
        </w:tc>
      </w:tr>
      <w:tr>
        <w:trPr>
          <w:cantSplit/>
        </w:trPr>
        <w:tc>
          <w:tcPr>
            <w:tcW w:type="dxa" w:w="2880"/>
            <w:vAlign w:val="center"/>
          </w:tcPr>
          <w:p>
            <w:pPr>
              <w:spacing w:after="0" w:before="0" w:line="240" w:lineRule="auto"/>
            </w:pPr>
            <w:r/>
            <w:r>
              <w:rPr>
                <w:rFonts w:ascii="Aptos" w:hAnsi="Aptos"/>
                <w:b w:val="0"/>
                <w:sz w:val="18"/>
              </w:rPr>
              <w:t>Date of Adoption</w:t>
            </w:r>
          </w:p>
        </w:tc>
        <w:tc>
          <w:tcPr>
            <w:tcW w:type="dxa" w:w="6480"/>
            <w:vAlign w:val="center"/>
          </w:tcPr>
          <w:p>
            <w:pPr>
              <w:spacing w:after="0" w:before="0" w:line="240" w:lineRule="auto"/>
            </w:pPr>
            <w:r/>
            <w:r>
              <w:rPr>
                <w:rFonts w:ascii="Aptos" w:hAnsi="Aptos"/>
                <w:b w:val="0"/>
                <w:sz w:val="18"/>
              </w:rPr>
              <w:t>[[DATE]]</w:t>
            </w:r>
          </w:p>
        </w:tc>
      </w:tr>
      <w:tr>
        <w:trPr>
          <w:cantSplit/>
        </w:trPr>
        <w:tc>
          <w:tcPr>
            <w:tcW w:type="dxa" w:w="2880"/>
            <w:vAlign w:val="center"/>
          </w:tcPr>
          <w:p>
            <w:pPr>
              <w:spacing w:after="0" w:before="0" w:line="240" w:lineRule="auto"/>
            </w:pPr>
            <w:r/>
            <w:r>
              <w:rPr>
                <w:rFonts w:ascii="Aptos" w:hAnsi="Aptos"/>
                <w:b w:val="0"/>
                <w:sz w:val="18"/>
              </w:rPr>
              <w:t>Adopting Authority</w:t>
            </w:r>
          </w:p>
        </w:tc>
        <w:tc>
          <w:tcPr>
            <w:tcW w:type="dxa" w:w="6480"/>
            <w:vAlign w:val="center"/>
          </w:tcPr>
          <w:p>
            <w:pPr>
              <w:spacing w:after="0" w:before="0" w:line="240" w:lineRule="auto"/>
            </w:pPr>
            <w:r/>
            <w:r>
              <w:rPr>
                <w:rFonts w:ascii="Aptos" w:hAnsi="Aptos"/>
                <w:b w:val="0"/>
                <w:sz w:val="18"/>
              </w:rPr>
              <w:t>Civil Board of Directors</w:t>
            </w:r>
          </w:p>
        </w:tc>
      </w:tr>
      <w:tr>
        <w:trPr>
          <w:cantSplit/>
        </w:trPr>
        <w:tc>
          <w:tcPr>
            <w:tcW w:type="dxa" w:w="2880"/>
            <w:vAlign w:val="center"/>
          </w:tcPr>
          <w:p>
            <w:pPr>
              <w:spacing w:after="0" w:before="0" w:line="240" w:lineRule="auto"/>
            </w:pPr>
            <w:r/>
            <w:r>
              <w:rPr>
                <w:rFonts w:ascii="Aptos" w:hAnsi="Aptos"/>
                <w:b w:val="0"/>
                <w:sz w:val="18"/>
              </w:rPr>
              <w:t>Approval / Resolution</w:t>
            </w:r>
          </w:p>
        </w:tc>
        <w:tc>
          <w:tcPr>
            <w:tcW w:type="dxa" w:w="6480"/>
            <w:vAlign w:val="center"/>
          </w:tcPr>
          <w:p>
            <w:pPr>
              <w:spacing w:after="0" w:before="0" w:line="240" w:lineRule="auto"/>
            </w:pPr>
            <w:r/>
            <w:r>
              <w:rPr>
                <w:rFonts w:ascii="Aptos" w:hAnsi="Aptos"/>
                <w:b w:val="0"/>
                <w:sz w:val="18"/>
              </w:rPr>
              <w:t>[[APPROVAL_RECORD]]</w:t>
            </w:r>
          </w:p>
        </w:tc>
      </w:tr>
    </w:tbl>
    <w:p>
      <w:pPr>
        <w:spacing w:after="0" w:before="0" w:line="240" w:lineRule="auto"/>
      </w:pPr>
      <w:r>
        <w:t>Certification</w:t>
      </w:r>
    </w:p>
    <w:p>
      <w:pPr>
        <w:spacing w:after="0" w:before="0" w:line="240" w:lineRule="auto"/>
      </w:pPr>
      <w:r>
        <w:t>I certify that the foregoing instrument was duly adopted or approved as stated above and remains in effect except as subsequently amended through valid process.</w:t>
      </w:r>
    </w:p>
    <w:p>
      <w:pPr>
        <w:spacing w:after="0" w:before="0" w:line="240" w:lineRule="auto"/>
      </w:pPr>
      <w:r>
        <w:t>Signature: ________________________________________   [[NAME / OFFICE]]   Date: [[DATE]]</w:t>
      </w:r>
    </w:p>
    <w:sectPr w:rsidR="00FC693F" w:rsidRPr="0006063C" w:rsidSect="00034616">
      <w:headerReference w:type="default" r:id="rId9"/>
      <w:footerReference w:type="default" r:id="rId10"/>
      <w:pgSz w:w="12240" w:h="15840"/>
      <w:pgMar w:top="792" w:right="1037" w:bottom="64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CH-043  |  Financial Statements and Reporting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