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Political-Campaign Compliance Policy</w:t>
      </w:r>
    </w:p>
    <w:p>
      <w:pPr>
        <w:jc w:val="left"/>
      </w:pPr>
      <w:r>
        <w:rPr>
          <w:i/>
          <w:color w:val="4B5563"/>
          <w:sz w:val="22"/>
        </w:rPr>
        <w:t>Neutral institutional policy for the federal prohibition on candidate campaign intervention</w:t>
      </w:r>
    </w:p>
    <w:tbl>
      <w:tblPr>
        <w:tblStyle w:val="TableGrid"/>
        <w:tblW w:type="auto" w:w="0"/>
        <w:jc w:val="left"/>
        <w:tblLook w:firstColumn="1" w:firstRow="1" w:lastColumn="0" w:lastRow="0" w:noHBand="0" w:noVBand="1" w:val="04A0"/>
      </w:tblPr>
      <w:tblGrid>
        <w:gridCol w:w="5083"/>
        <w:gridCol w:w="5083"/>
      </w:tblGrid>
      <w:tr>
        <w:tc>
          <w:tcPr>
            <w:tcW w:type="dxa" w:w="5083"/>
            <w:vAlign w:val="center"/>
            <w:shd w:fill="E5E7EB"/>
          </w:tcPr>
          <w:p>
            <w:r/>
            <w:r>
              <w:rPr>
                <w:rFonts w:ascii="Aptos" w:hAnsi="Aptos"/>
                <w:b/>
                <w:sz w:val="18"/>
              </w:rPr>
              <w:t>Document ID</w:t>
            </w:r>
          </w:p>
        </w:tc>
        <w:tc>
          <w:tcPr>
            <w:tcW w:type="dxa" w:w="5083"/>
            <w:vAlign w:val="center"/>
          </w:tcPr>
          <w:p>
            <w:r/>
            <w:r>
              <w:rPr>
                <w:rFonts w:ascii="Aptos" w:hAnsi="Aptos"/>
                <w:b w:val="0"/>
                <w:sz w:val="18"/>
              </w:rPr>
              <w:t>CH-045</w:t>
            </w:r>
          </w:p>
        </w:tc>
      </w:tr>
      <w:tr>
        <w:tc>
          <w:tcPr>
            <w:tcW w:type="dxa" w:w="5083"/>
            <w:vAlign w:val="center"/>
            <w:shd w:fill="E5E7EB"/>
          </w:tcPr>
          <w:p>
            <w:r/>
            <w:r>
              <w:rPr>
                <w:rFonts w:ascii="Aptos" w:hAnsi="Aptos"/>
                <w:b/>
                <w:sz w:val="18"/>
              </w:rPr>
              <w:t>Version</w:t>
            </w:r>
          </w:p>
        </w:tc>
        <w:tc>
          <w:tcPr>
            <w:tcW w:type="dxa" w:w="5083"/>
            <w:vAlign w:val="center"/>
          </w:tcPr>
          <w:p>
            <w:r/>
            <w:r>
              <w:rPr>
                <w:rFonts w:ascii="Aptos" w:hAnsi="Aptos"/>
                <w:b w:val="0"/>
                <w:sz w:val="18"/>
              </w:rPr>
              <w:t>0.1.0</w:t>
            </w:r>
          </w:p>
        </w:tc>
      </w:tr>
      <w:tr>
        <w:tc>
          <w:tcPr>
            <w:tcW w:type="dxa" w:w="5083"/>
            <w:vAlign w:val="center"/>
            <w:shd w:fill="E5E7EB"/>
          </w:tcPr>
          <w:p>
            <w:r/>
            <w:r>
              <w:rPr>
                <w:rFonts w:ascii="Aptos" w:hAnsi="Aptos"/>
                <w:b/>
                <w:sz w:val="18"/>
              </w:rPr>
              <w:t>Status</w:t>
            </w:r>
          </w:p>
        </w:tc>
        <w:tc>
          <w:tcPr>
            <w:tcW w:type="dxa" w:w="5083"/>
            <w:vAlign w:val="center"/>
          </w:tcPr>
          <w:p>
            <w:r/>
            <w:r>
              <w:rPr>
                <w:rFonts w:ascii="Aptos" w:hAnsi="Aptos"/>
                <w:b w:val="0"/>
                <w:sz w:val="18"/>
              </w:rPr>
              <w:t>Provisional Working Draft</w:t>
            </w:r>
          </w:p>
        </w:tc>
      </w:tr>
      <w:tr>
        <w:tc>
          <w:tcPr>
            <w:tcW w:type="dxa" w:w="5083"/>
            <w:vAlign w:val="center"/>
            <w:shd w:fill="E5E7EB"/>
          </w:tcPr>
          <w:p>
            <w:r/>
            <w:r>
              <w:rPr>
                <w:rFonts w:ascii="Aptos" w:hAnsi="Aptos"/>
                <w:b/>
                <w:sz w:val="18"/>
              </w:rPr>
              <w:t>Entity</w:t>
            </w:r>
          </w:p>
        </w:tc>
        <w:tc>
          <w:tcPr>
            <w:tcW w:type="dxa" w:w="5083"/>
            <w:vAlign w:val="center"/>
          </w:tcPr>
          <w:p>
            <w:r/>
            <w:r>
              <w:rPr>
                <w:rFonts w:ascii="Aptos" w:hAnsi="Aptos"/>
                <w:b w:val="0"/>
                <w:sz w:val="18"/>
              </w:rPr>
              <w:t>[[CORP_NAME]]</w:t>
            </w:r>
          </w:p>
        </w:tc>
      </w:tr>
      <w:tr>
        <w:tc>
          <w:tcPr>
            <w:tcW w:type="dxa" w:w="5083"/>
            <w:vAlign w:val="center"/>
            <w:shd w:fill="E5E7EB"/>
          </w:tcPr>
          <w:p>
            <w:r/>
            <w:r>
              <w:rPr>
                <w:rFonts w:ascii="Aptos" w:hAnsi="Aptos"/>
                <w:b/>
                <w:sz w:val="18"/>
              </w:rPr>
              <w:t>Adoption</w:t>
            </w:r>
          </w:p>
        </w:tc>
        <w:tc>
          <w:tcPr>
            <w:tcW w:type="dxa" w:w="5083"/>
            <w:vAlign w:val="center"/>
          </w:tcPr>
          <w:p>
            <w:r/>
            <w:r>
              <w:rPr>
                <w:rFonts w:ascii="Aptos" w:hAnsi="Aptos"/>
                <w:b w:val="0"/>
                <w:sz w:val="18"/>
              </w:rPr>
              <w:t>Not effective until validly adopted</w:t>
            </w:r>
          </w:p>
        </w:tc>
      </w:tr>
    </w:tbl>
    <w:p>
      <w:r>
        <w:rPr>
          <w:b/>
        </w:rPr>
        <w:t xml:space="preserve">Drafting notice. </w:t>
      </w:r>
      <w:r>
        <w:t>This instrument is a governance/compliance working draft. It does not create facts that have not occurred, does not replace professional legal or tax advice, and must be conformed to verified organizational facts before adoption or filing.</w:t>
      </w:r>
    </w:p>
    <w:p>
      <w:pPr>
        <w:pStyle w:val="Heading1"/>
      </w:pPr>
      <w:r>
        <w:t>Federal Rule</w:t>
      </w:r>
    </w:p>
    <w:p>
      <w:r>
        <w:t>As a section 501(c)(3) organization, [[CORP_NAME]] shall not directly or indirectly participate or intervene in a political campaign on behalf of or in opposition to any candidate for elective public office. This institutional restriction applies to the organization; it does not eliminate the personal civic rights of members, ministers, directors, or employees acting in their individual capacities without using organizational resources or implying organizational endorsement.</w:t>
      </w:r>
    </w:p>
    <w:p>
      <w:pPr>
        <w:pStyle w:val="Heading1"/>
      </w:pPr>
      <w:r>
        <w:t>Prohibited Institutional Conduct</w:t>
      </w:r>
    </w:p>
    <w:p>
      <w:pPr>
        <w:pStyle w:val="ListBullet"/>
      </w:pPr>
      <w:r>
        <w:t>Endorsing or opposing a candidate in the organization's name.</w:t>
      </w:r>
    </w:p>
    <w:p>
      <w:pPr>
        <w:pStyle w:val="ListBullet"/>
      </w:pPr>
      <w:r>
        <w:t>Contributing organizational money, services, facilities, mailing lists, staff time, or other resources to a candidate campaign except neutral arrangements that independently satisfy applicable rules.</w:t>
      </w:r>
    </w:p>
    <w:p>
      <w:pPr>
        <w:pStyle w:val="ListBullet"/>
      </w:pPr>
      <w:r>
        <w:t>Publishing or distributing statements that support or oppose a candidate.</w:t>
      </w:r>
    </w:p>
    <w:p>
      <w:pPr>
        <w:pStyle w:val="ListBullet"/>
      </w:pPr>
      <w:r>
        <w:t>Using sermons, official social-media accounts, websites, bulletins, email lists, or events to intervene for or against a candidate.</w:t>
      </w:r>
    </w:p>
    <w:p>
      <w:pPr>
        <w:pStyle w:val="ListBullet"/>
      </w:pPr>
      <w:r>
        <w:t>Coordinating institutional activities with a campaign.</w:t>
      </w:r>
    </w:p>
    <w:p>
      <w:pPr>
        <w:pStyle w:val="Heading1"/>
      </w:pPr>
      <w:r>
        <w:t>Potentially Permissible Nonpartisan Activity</w:t>
      </w:r>
    </w:p>
    <w:p>
      <w:pPr>
        <w:pStyle w:val="ListBullet"/>
      </w:pPr>
      <w:r>
        <w:t>Neutral voter education using objective, nonbiased criteria.</w:t>
      </w:r>
    </w:p>
    <w:p>
      <w:pPr>
        <w:pStyle w:val="ListBullet"/>
      </w:pPr>
      <w:r>
        <w:t>Nonpartisan voter registration or participation efforts.</w:t>
      </w:r>
    </w:p>
    <w:p>
      <w:pPr>
        <w:pStyle w:val="ListBullet"/>
      </w:pPr>
      <w:r>
        <w:t>Public-policy education that addresses issues without becoming candidate intervention.</w:t>
      </w:r>
    </w:p>
    <w:p>
      <w:pPr>
        <w:pStyle w:val="ListBullet"/>
      </w:pPr>
      <w:r>
        <w:t>Candidate appearances or forums only when structured and administered in a genuinely nonpartisan manner under applicable IRS facts-and-circumstances guidance.</w:t>
      </w:r>
    </w:p>
    <w:p>
      <w:pPr>
        <w:pStyle w:val="ListBullet"/>
      </w:pPr>
      <w:r>
        <w:t>Individual political activity by leaders in their personal capacity when clearly separated from institutional role and resources.</w:t>
      </w:r>
    </w:p>
    <w:p>
      <w:pPr>
        <w:pStyle w:val="Heading1"/>
      </w:pPr>
      <w:r>
        <w:t>Preclearance Workflow</w:t>
      </w:r>
    </w:p>
    <w:p>
      <w:pPr>
        <w:pStyle w:val="ListNumber"/>
      </w:pPr>
      <w:r>
        <w:t>Any proposed candidate forum, voter guide, election-season communication, use of church facilities by a campaign, or leader statement using organizational channels is submitted for compliance review.</w:t>
      </w:r>
    </w:p>
    <w:p>
      <w:pPr>
        <w:pStyle w:val="ListNumber"/>
      </w:pPr>
      <w:r>
        <w:t>Reviewer identifies whether a candidate is involved, whether the communication favors/opposes, and whether organizational resources or official authority are being used.</w:t>
      </w:r>
    </w:p>
    <w:p>
      <w:pPr>
        <w:pStyle w:val="ListNumber"/>
      </w:pPr>
      <w:r>
        <w:t>Ambiguous or high-risk matters are referred to qualified tax counsel before release.</w:t>
      </w:r>
    </w:p>
    <w:p>
      <w:pPr>
        <w:pStyle w:val="ListNumber"/>
      </w:pPr>
      <w:r>
        <w:t>The decision and final content are preserved in the compliance file.</w:t>
      </w:r>
    </w:p>
    <w:p>
      <w:pPr>
        <w:pStyle w:val="Heading1"/>
      </w:pPr>
      <w:r>
        <w:t>Communication Disclaimer Template</w:t>
      </w:r>
    </w:p>
    <w:p>
      <w:r>
        <w:t>When an authorized leader engages in personal political speech outside organizational channels, a disclaimer may state: “The views expressed are my own and are not made on behalf of [[CORP_NAME]].” A disclaimer does not cure conduct that is substantively organizational campaign intervention.</w:t>
      </w:r>
    </w:p>
    <w:p>
      <w:pPr>
        <w:pStyle w:val="Heading1"/>
      </w:pPr>
      <w:r>
        <w:t>Current Legal and Administrative References</w:t>
      </w:r>
    </w:p>
    <w:p>
      <w:r>
        <w:rPr>
          <w:b/>
        </w:rPr>
        <w:t xml:space="preserve">IRS political campaign intervention rule: </w:t>
      </w:r>
      <w:r>
        <w:t>https://www.irs.gov/charities-non-profits/charitable-organizations/restriction-of-political-campaign-intervention-by-section-501c3-tax-exempt-organizations</w:t>
      </w:r>
    </w:p>
    <w:p>
      <w:r>
        <w:rPr>
          <w:b/>
        </w:rPr>
        <w:t xml:space="preserve">IRS campaign-intervention FAQs: </w:t>
      </w:r>
      <w:r>
        <w:t>https://www.irs.gov/charities-non-profits/charitable-organizations/frequently-asked-questions-about-the-ban-on-political-campaign-intervention-by-501c3-organizations-overview</w:t>
      </w:r>
    </w:p>
    <w:p>
      <w:pPr>
        <w:pStyle w:val="Heading1"/>
      </w:pPr>
      <w:r>
        <w:t>Adoption and Certification</w:t>
      </w:r>
    </w:p>
    <w:p>
      <w:r>
        <w:t>This instrument becomes effective only upon valid adoption by the competent authority. Drafting, circulation, training, or use as a template does not itself constitute adoption.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vAlign w:val="center"/>
            <w:shd w:fill="1F4E79"/>
          </w:tcPr>
          <w:p>
            <w:r/>
            <w:r>
              <w:rPr>
                <w:rFonts w:ascii="Aptos" w:hAnsi="Aptos"/>
                <w:b/>
                <w:color w:val="FFFFFF"/>
                <w:sz w:val="18"/>
              </w:rPr>
              <w:t>Field</w:t>
            </w:r>
          </w:p>
        </w:tc>
        <w:tc>
          <w:tcPr>
            <w:tcW w:type="dxa" w:w="6480"/>
            <w:vAlign w:val="center"/>
            <w:shd w:fill="1F4E79"/>
          </w:tcPr>
          <w:p>
            <w:r/>
            <w:r>
              <w:rPr>
                <w:rFonts w:ascii="Aptos" w:hAnsi="Aptos"/>
                <w:b/>
                <w:color w:val="FFFFFF"/>
                <w:sz w:val="18"/>
              </w:rPr>
              <w:t>Entry</w:t>
            </w:r>
          </w:p>
        </w:tc>
      </w:tr>
      <w:tr>
        <w:trPr>
          <w:cantSplit/>
        </w:trPr>
        <w:tc>
          <w:tcPr>
            <w:tcW w:type="dxa" w:w="2880"/>
            <w:vAlign w:val="center"/>
          </w:tcPr>
          <w:p>
            <w:r/>
            <w:r>
              <w:rPr>
                <w:rFonts w:ascii="Aptos" w:hAnsi="Aptos"/>
                <w:b w:val="0"/>
                <w:sz w:val="18"/>
              </w:rPr>
              <w:t>Organization</w:t>
            </w:r>
          </w:p>
        </w:tc>
        <w:tc>
          <w:tcPr>
            <w:tcW w:type="dxa" w:w="6480"/>
            <w:vAlign w:val="center"/>
          </w:tcPr>
          <w:p>
            <w:r/>
            <w:r>
              <w:rPr>
                <w:rFonts w:ascii="Aptos" w:hAnsi="Aptos"/>
                <w:b w:val="0"/>
                <w:sz w:val="18"/>
              </w:rPr>
              <w:t>[[CORP_NAME]]</w:t>
            </w:r>
          </w:p>
        </w:tc>
      </w:tr>
      <w:tr>
        <w:trPr>
          <w:cantSplit/>
        </w:trPr>
        <w:tc>
          <w:tcPr>
            <w:tcW w:type="dxa" w:w="2880"/>
            <w:vAlign w:val="center"/>
          </w:tcPr>
          <w:p>
            <w:r/>
            <w:r>
              <w:rPr>
                <w:rFonts w:ascii="Aptos" w:hAnsi="Aptos"/>
                <w:b w:val="0"/>
                <w:sz w:val="18"/>
              </w:rPr>
              <w:t>Date of Adoption</w:t>
            </w:r>
          </w:p>
        </w:tc>
        <w:tc>
          <w:tcPr>
            <w:tcW w:type="dxa" w:w="6480"/>
            <w:vAlign w:val="center"/>
          </w:tcPr>
          <w:p>
            <w:r/>
            <w:r>
              <w:rPr>
                <w:rFonts w:ascii="Aptos" w:hAnsi="Aptos"/>
                <w:b w:val="0"/>
                <w:sz w:val="18"/>
              </w:rPr>
              <w:t>[[DATE]]</w:t>
            </w:r>
          </w:p>
        </w:tc>
      </w:tr>
      <w:tr>
        <w:trPr>
          <w:cantSplit/>
        </w:trPr>
        <w:tc>
          <w:tcPr>
            <w:tcW w:type="dxa" w:w="2880"/>
            <w:vAlign w:val="center"/>
          </w:tcPr>
          <w:p>
            <w:r/>
            <w:r>
              <w:rPr>
                <w:rFonts w:ascii="Aptos" w:hAnsi="Aptos"/>
                <w:b w:val="0"/>
                <w:sz w:val="18"/>
              </w:rPr>
              <w:t>Adopting Authority</w:t>
            </w:r>
          </w:p>
        </w:tc>
        <w:tc>
          <w:tcPr>
            <w:tcW w:type="dxa" w:w="6480"/>
            <w:vAlign w:val="center"/>
          </w:tcPr>
          <w:p>
            <w:r/>
            <w:r>
              <w:rPr>
                <w:rFonts w:ascii="Aptos" w:hAnsi="Aptos"/>
                <w:b w:val="0"/>
                <w:sz w:val="18"/>
              </w:rPr>
              <w:t>Civil Board of Directors</w:t>
            </w:r>
          </w:p>
        </w:tc>
      </w:tr>
      <w:tr>
        <w:trPr>
          <w:cantSplit/>
        </w:trPr>
        <w:tc>
          <w:tcPr>
            <w:tcW w:type="dxa" w:w="2880"/>
            <w:vAlign w:val="center"/>
          </w:tcPr>
          <w:p>
            <w:r/>
            <w:r>
              <w:rPr>
                <w:rFonts w:ascii="Aptos" w:hAnsi="Aptos"/>
                <w:b w:val="0"/>
                <w:sz w:val="18"/>
              </w:rPr>
              <w:t>Approval / Resolution</w:t>
            </w:r>
          </w:p>
        </w:tc>
        <w:tc>
          <w:tcPr>
            <w:tcW w:type="dxa" w:w="6480"/>
            <w:vAlign w:val="center"/>
          </w:tcPr>
          <w:p>
            <w:r/>
            <w:r>
              <w:rPr>
                <w:rFonts w:ascii="Aptos" w:hAnsi="Aptos"/>
                <w:b w:val="0"/>
                <w:sz w:val="18"/>
              </w:rPr>
              <w:t>[[APPROVAL_RECORD]]</w:t>
            </w:r>
          </w:p>
        </w:tc>
      </w:tr>
      <w:tr>
        <w:trPr>
          <w:cantSplit/>
        </w:trPr>
        <w:tc>
          <w:tcPr>
            <w:tcW w:type="dxa" w:w="2880"/>
            <w:vAlign w:val="center"/>
          </w:tcPr>
          <w:p>
            <w:r/>
            <w:r>
              <w:rPr>
                <w:rFonts w:ascii="Aptos" w:hAnsi="Aptos"/>
                <w:b w:val="0"/>
                <w:sz w:val="18"/>
              </w:rPr>
              <w:t>Version</w:t>
            </w:r>
          </w:p>
        </w:tc>
        <w:tc>
          <w:tcPr>
            <w:tcW w:type="dxa" w:w="6480"/>
            <w:vAlign w:val="center"/>
          </w:tcPr>
          <w:p>
            <w:r/>
            <w:r>
              <w:rPr>
                <w:rFonts w:ascii="Aptos" w:hAnsi="Aptos"/>
                <w:b w:val="0"/>
                <w:sz w:val="18"/>
              </w:rPr>
              <w:t>0.1.0</w:t>
            </w:r>
          </w:p>
        </w:tc>
      </w:tr>
    </w:tbl>
    <w:p>
      <w:r>
        <w:t>Certification</w:t>
      </w:r>
    </w:p>
    <w:p>
      <w:r>
        <w:t>I certify that the foregoing instrument was duly adopted or approved as stated above and remains in effect except as subsequently amended through valid process.</w:t>
      </w:r>
    </w:p>
    <w:p>
      <w:r>
        <w:t>Signature: ________________________________________   [[NAME / OFFICE]]   Date: [[DATE]]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Working Draft - Internal Governance / Legal &amp; Tax Review Recommended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CH-045  |  Political-Campaign Compliance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741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41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