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Lobbying Policy</w:t>
      </w:r>
    </w:p>
    <w:p>
      <w:pPr>
        <w:jc w:val="left"/>
      </w:pPr>
      <w:r>
        <w:rPr>
          <w:i/>
          <w:color w:val="4B5563"/>
          <w:sz w:val="22"/>
        </w:rPr>
        <w:t>Legislative advocacy controls for a church operating under the substantial-part test</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CH-046</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Policy</w:t>
      </w:r>
    </w:p>
    <w:p>
      <w:r>
        <w:t>The organization may address moral, religious, social, and public-policy issues consistent with its exempt purposes. Attempts to influence legislation must remain an insubstantial part of the organization's overall activities. Because churches are not eligible to elect the section 501(h) expenditure test, this organization shall not rely on a Form 5768 election if it is classified as a church or otherwise ineligible.</w:t>
      </w:r>
    </w:p>
    <w:p>
      <w:pPr>
        <w:pStyle w:val="Heading1"/>
      </w:pPr>
      <w:r>
        <w:t>What Is Lobbying for This Policy</w:t>
      </w:r>
    </w:p>
    <w:p>
      <w:r>
        <w:t>Lobbying generally includes direct communications with legislators or similar legislative bodies that refer to and express a view on legislation, and grassroots efforts urging the public to contact legislators or otherwise support or oppose legislation. “Legislation” includes bills, resolutions, legislative confirmations, and public referenda/ballot initiatives. Educational discussion of public-policy issues is not automatically lobbying.</w:t>
      </w:r>
    </w:p>
    <w:p>
      <w:pPr>
        <w:pStyle w:val="Heading1"/>
      </w:pPr>
      <w:r>
        <w:t>Approval and Logging</w:t>
      </w:r>
    </w:p>
    <w:p>
      <w:pPr>
        <w:pStyle w:val="ListNumber"/>
      </w:pPr>
      <w:r>
        <w:t>Identify the specific legislation or legislative proposal, if any.</w:t>
      </w:r>
    </w:p>
    <w:p>
      <w:pPr>
        <w:pStyle w:val="ListNumber"/>
      </w:pPr>
      <w:r>
        <w:t>Classify the activity as lobbying, nonlobbying public education, administrative/executive advocacy, litigation/judicial activity, or uncertain.</w:t>
      </w:r>
    </w:p>
    <w:p>
      <w:pPr>
        <w:pStyle w:val="ListNumber"/>
      </w:pPr>
      <w:r>
        <w:t>Estimate staff/volunteer time, direct expenditures, communications, and use of institutional channels.</w:t>
      </w:r>
    </w:p>
    <w:p>
      <w:pPr>
        <w:pStyle w:val="ListNumber"/>
      </w:pPr>
      <w:r>
        <w:t>Obtain approval from the designated authority before material lobbying activity.</w:t>
      </w:r>
    </w:p>
    <w:p>
      <w:pPr>
        <w:pStyle w:val="ListNumber"/>
      </w:pPr>
      <w:r>
        <w:t>Record actual time and expenditures in the lobbying log.</w:t>
      </w:r>
    </w:p>
    <w:p>
      <w:pPr>
        <w:pStyle w:val="ListNumber"/>
      </w:pPr>
      <w:r>
        <w:t>Review lobbying activity cumulatively at least quarterly because the substantial-part test considers facts and circumstances, including time and expenditures.</w:t>
      </w:r>
    </w:p>
    <w:p>
      <w:pPr>
        <w:pStyle w:val="Heading1"/>
      </w:pPr>
      <w:r>
        <w:t>Lobbying Log Template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1271"/>
            <w:vAlign w:val="center"/>
            <w:shd w:fill="1F4E79"/>
          </w:tcPr>
          <w:p>
            <w:r/>
            <w:r>
              <w:rPr>
                <w:rFonts w:ascii="Aptos" w:hAnsi="Aptos"/>
                <w:b/>
                <w:color w:val="FFFFFF"/>
                <w:sz w:val="18"/>
              </w:rPr>
              <w:t>Date</w:t>
            </w:r>
          </w:p>
        </w:tc>
        <w:tc>
          <w:tcPr>
            <w:tcW w:type="dxa" w:w="1271"/>
            <w:vAlign w:val="center"/>
            <w:shd w:fill="1F4E79"/>
          </w:tcPr>
          <w:p>
            <w:r/>
            <w:r>
              <w:rPr>
                <w:rFonts w:ascii="Aptos" w:hAnsi="Aptos"/>
                <w:b/>
                <w:color w:val="FFFFFF"/>
                <w:sz w:val="18"/>
              </w:rPr>
              <w:t>Issue / Legislation</w:t>
            </w:r>
          </w:p>
        </w:tc>
        <w:tc>
          <w:tcPr>
            <w:tcW w:type="dxa" w:w="1271"/>
            <w:vAlign w:val="center"/>
            <w:shd w:fill="1F4E79"/>
          </w:tcPr>
          <w:p>
            <w:r/>
            <w:r>
              <w:rPr>
                <w:rFonts w:ascii="Aptos" w:hAnsi="Aptos"/>
                <w:b/>
                <w:color w:val="FFFFFF"/>
                <w:sz w:val="18"/>
              </w:rPr>
              <w:t>Direct / Grassroots</w:t>
            </w:r>
          </w:p>
        </w:tc>
        <w:tc>
          <w:tcPr>
            <w:tcW w:type="dxa" w:w="1271"/>
            <w:vAlign w:val="center"/>
            <w:shd w:fill="1F4E79"/>
          </w:tcPr>
          <w:p>
            <w:r/>
            <w:r>
              <w:rPr>
                <w:rFonts w:ascii="Aptos" w:hAnsi="Aptos"/>
                <w:b/>
                <w:color w:val="FFFFFF"/>
                <w:sz w:val="18"/>
              </w:rPr>
              <w:t>Action</w:t>
            </w:r>
          </w:p>
        </w:tc>
        <w:tc>
          <w:tcPr>
            <w:tcW w:type="dxa" w:w="1271"/>
            <w:vAlign w:val="center"/>
            <w:shd w:fill="1F4E79"/>
          </w:tcPr>
          <w:p>
            <w:r/>
            <w:r>
              <w:rPr>
                <w:rFonts w:ascii="Aptos" w:hAnsi="Aptos"/>
                <w:b/>
                <w:color w:val="FFFFFF"/>
                <w:sz w:val="18"/>
              </w:rPr>
              <w:t>Staff / Volunteer Time</w:t>
            </w:r>
          </w:p>
        </w:tc>
        <w:tc>
          <w:tcPr>
            <w:tcW w:type="dxa" w:w="1271"/>
            <w:vAlign w:val="center"/>
            <w:shd w:fill="1F4E79"/>
          </w:tcPr>
          <w:p>
            <w:r/>
            <w:r>
              <w:rPr>
                <w:rFonts w:ascii="Aptos" w:hAnsi="Aptos"/>
                <w:b/>
                <w:color w:val="FFFFFF"/>
                <w:sz w:val="18"/>
              </w:rPr>
              <w:t>Expense</w:t>
            </w:r>
          </w:p>
        </w:tc>
        <w:tc>
          <w:tcPr>
            <w:tcW w:type="dxa" w:w="1271"/>
            <w:vAlign w:val="center"/>
            <w:shd w:fill="1F4E79"/>
          </w:tcPr>
          <w:p>
            <w:r/>
            <w:r>
              <w:rPr>
                <w:rFonts w:ascii="Aptos" w:hAnsi="Aptos"/>
                <w:b/>
                <w:color w:val="FFFFFF"/>
                <w:sz w:val="18"/>
              </w:rPr>
              <w:t>Approval</w:t>
            </w:r>
          </w:p>
        </w:tc>
        <w:tc>
          <w:tcPr>
            <w:tcW w:type="dxa" w:w="1271"/>
            <w:vAlign w:val="center"/>
            <w:shd w:fill="1F4E79"/>
          </w:tcPr>
          <w:p>
            <w:r/>
            <w:r>
              <w:rPr>
                <w:rFonts w:ascii="Aptos" w:hAnsi="Aptos"/>
                <w:b/>
                <w:color w:val="FFFFFF"/>
                <w:sz w:val="18"/>
              </w:rPr>
              <w:t>Notes</w:t>
            </w:r>
          </w:p>
        </w:tc>
      </w:tr>
      <w:tr>
        <w:trPr>
          <w:cantSplit/>
        </w:trPr>
        <w:tc>
          <w:tcPr>
            <w:tcW w:type="dxa" w:w="1271"/>
            <w:vAlign w:val="center"/>
          </w:tcPr>
          <w:p>
            <w:r/>
            <w:r>
              <w:rPr>
                <w:rFonts w:ascii="Aptos" w:hAnsi="Aptos"/>
                <w:b w:val="0"/>
                <w:sz w:val="18"/>
              </w:rPr>
              <w:t>[[DATE]]</w:t>
            </w:r>
          </w:p>
        </w:tc>
        <w:tc>
          <w:tcPr>
            <w:tcW w:type="dxa" w:w="1271"/>
            <w:vAlign w:val="center"/>
          </w:tcPr>
          <w:p>
            <w:r/>
            <w:r>
              <w:rPr>
                <w:rFonts w:ascii="Aptos" w:hAnsi="Aptos"/>
                <w:b w:val="0"/>
                <w:sz w:val="18"/>
              </w:rPr>
              <w:t>[[BILL / REFERENDUM]]</w:t>
            </w:r>
          </w:p>
        </w:tc>
        <w:tc>
          <w:tcPr>
            <w:tcW w:type="dxa" w:w="1271"/>
            <w:vAlign w:val="center"/>
          </w:tcPr>
          <w:p>
            <w:r/>
            <w:r>
              <w:rPr>
                <w:rFonts w:ascii="Aptos" w:hAnsi="Aptos"/>
                <w:b w:val="0"/>
                <w:sz w:val="18"/>
              </w:rPr>
              <w:t>[[TYPE]]</w:t>
            </w:r>
          </w:p>
        </w:tc>
        <w:tc>
          <w:tcPr>
            <w:tcW w:type="dxa" w:w="1271"/>
            <w:vAlign w:val="center"/>
          </w:tcPr>
          <w:p>
            <w:r/>
            <w:r>
              <w:rPr>
                <w:rFonts w:ascii="Aptos" w:hAnsi="Aptos"/>
                <w:b w:val="0"/>
                <w:sz w:val="18"/>
              </w:rPr>
              <w:t>[[DESCRIPTION]]</w:t>
            </w:r>
          </w:p>
        </w:tc>
        <w:tc>
          <w:tcPr>
            <w:tcW w:type="dxa" w:w="1271"/>
            <w:vAlign w:val="center"/>
          </w:tcPr>
          <w:p>
            <w:r/>
            <w:r>
              <w:rPr>
                <w:rFonts w:ascii="Aptos" w:hAnsi="Aptos"/>
                <w:b w:val="0"/>
                <w:sz w:val="18"/>
              </w:rPr>
              <w:t>[[HOURS]]</w:t>
            </w:r>
          </w:p>
        </w:tc>
        <w:tc>
          <w:tcPr>
            <w:tcW w:type="dxa" w:w="1271"/>
            <w:vAlign w:val="center"/>
          </w:tcPr>
          <w:p>
            <w:r/>
            <w:r>
              <w:rPr>
                <w:rFonts w:ascii="Aptos" w:hAnsi="Aptos"/>
                <w:b w:val="0"/>
                <w:sz w:val="18"/>
              </w:rPr>
              <w:t>[[AMOUNT]]</w:t>
            </w:r>
          </w:p>
        </w:tc>
        <w:tc>
          <w:tcPr>
            <w:tcW w:type="dxa" w:w="1271"/>
            <w:vAlign w:val="center"/>
          </w:tcPr>
          <w:p>
            <w:r/>
            <w:r>
              <w:rPr>
                <w:rFonts w:ascii="Aptos" w:hAnsi="Aptos"/>
                <w:b w:val="0"/>
                <w:sz w:val="18"/>
              </w:rPr>
              <w:t>[[ID]]</w:t>
            </w:r>
          </w:p>
        </w:tc>
        <w:tc>
          <w:tcPr>
            <w:tcW w:type="dxa" w:w="1271"/>
            <w:vAlign w:val="center"/>
          </w:tcPr>
          <w:p>
            <w:r/>
            <w:r>
              <w:rPr>
                <w:rFonts w:ascii="Aptos" w:hAnsi="Aptos"/>
                <w:b w:val="0"/>
                <w:sz w:val="18"/>
              </w:rPr>
              <w:t>[[NOTES]]</w:t>
            </w:r>
          </w:p>
        </w:tc>
      </w:tr>
    </w:tbl>
    <w:p>
      <w:pPr>
        <w:pStyle w:val="Heading1"/>
      </w:pPr>
      <w:r>
        <w:t>Church-Specific Caution</w:t>
      </w:r>
    </w:p>
    <w:p>
      <w:r>
        <w:t>Current IRS guidance states that organizations other than churches and private foundations may elect the section 501(h) expenditure test. A church therefore remains under the facts-and-circumstances substantial-part test. This policy intentionally uses conservative internal review rather than attempting to define a numerical safe harbor that the law does not provide for churches.</w:t>
      </w:r>
    </w:p>
    <w:p>
      <w:pPr>
        <w:pStyle w:val="Heading1"/>
      </w:pPr>
      <w:r>
        <w:t>Current Legal and Administrative References</w:t>
      </w:r>
    </w:p>
    <w:p>
      <w:r>
        <w:rPr>
          <w:b/>
        </w:rPr>
        <w:t xml:space="preserve">IRS lobbying overview: </w:t>
      </w:r>
      <w:r>
        <w:t>https://www.irs.gov/charities-non-profits/lobbying</w:t>
      </w:r>
    </w:p>
    <w:p>
      <w:r>
        <w:rPr>
          <w:b/>
        </w:rPr>
        <w:t xml:space="preserve">IRS substantial-part test: </w:t>
      </w:r>
      <w:r>
        <w:t>https://www.irs.gov/charities-non-profits/measuring-lobbying-substantial-part-test</w:t>
      </w:r>
    </w:p>
    <w:p>
      <w:r>
        <w:rPr>
          <w:b/>
        </w:rPr>
        <w:t xml:space="preserve">IRS expenditure test / 501(h) eligibility: </w:t>
      </w:r>
      <w:r>
        <w:t>https://www.irs.gov/charities-non-profits/measuring-lobbying-activity-expenditure-test</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CH-046  |  Lobbying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