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Private-Benefit and Inurement Policy</w:t>
      </w:r>
    </w:p>
    <w:p>
      <w:pPr>
        <w:jc w:val="left"/>
      </w:pPr>
      <w:r>
        <w:rPr>
          <w:i/>
          <w:color w:val="4B5563"/>
          <w:sz w:val="22"/>
        </w:rPr>
        <w:t>Protection of charitable assets from insider inurement and impermissible private interests</w:t>
      </w:r>
    </w:p>
    <w:tbl>
      <w:tblPr>
        <w:tblStyle w:val="TableGrid"/>
        <w:tblW w:type="auto" w:w="0"/>
        <w:jc w:val="left"/>
        <w:tblLook w:firstColumn="1" w:firstRow="1" w:lastColumn="0" w:lastRow="0" w:noHBand="0" w:noVBand="1" w:val="04A0"/>
      </w:tblPr>
      <w:tblGrid>
        <w:gridCol w:w="5083"/>
        <w:gridCol w:w="5083"/>
      </w:tblGrid>
      <w:tr>
        <w:tc>
          <w:tcPr>
            <w:tcW w:type="dxa" w:w="5083"/>
            <w:vAlign w:val="center"/>
            <w:shd w:fill="E5E7EB"/>
          </w:tcPr>
          <w:p>
            <w:r/>
            <w:r>
              <w:rPr>
                <w:rFonts w:ascii="Aptos" w:hAnsi="Aptos"/>
                <w:b/>
                <w:sz w:val="18"/>
              </w:rPr>
              <w:t>Document ID</w:t>
            </w:r>
          </w:p>
        </w:tc>
        <w:tc>
          <w:tcPr>
            <w:tcW w:type="dxa" w:w="5083"/>
            <w:vAlign w:val="center"/>
          </w:tcPr>
          <w:p>
            <w:r/>
            <w:r>
              <w:rPr>
                <w:rFonts w:ascii="Aptos" w:hAnsi="Aptos"/>
                <w:b w:val="0"/>
                <w:sz w:val="18"/>
              </w:rPr>
              <w:t>CH-047</w:t>
            </w:r>
          </w:p>
        </w:tc>
      </w:tr>
      <w:tr>
        <w:tc>
          <w:tcPr>
            <w:tcW w:type="dxa" w:w="5083"/>
            <w:vAlign w:val="center"/>
            <w:shd w:fill="E5E7EB"/>
          </w:tcPr>
          <w:p>
            <w:r/>
            <w:r>
              <w:rPr>
                <w:rFonts w:ascii="Aptos" w:hAnsi="Aptos"/>
                <w:b/>
                <w:sz w:val="18"/>
              </w:rPr>
              <w:t>Version</w:t>
            </w:r>
          </w:p>
        </w:tc>
        <w:tc>
          <w:tcPr>
            <w:tcW w:type="dxa" w:w="5083"/>
            <w:vAlign w:val="center"/>
          </w:tcPr>
          <w:p>
            <w:r/>
            <w:r>
              <w:rPr>
                <w:rFonts w:ascii="Aptos" w:hAnsi="Aptos"/>
                <w:b w:val="0"/>
                <w:sz w:val="18"/>
              </w:rPr>
              <w:t>0.1.0</w:t>
            </w:r>
          </w:p>
        </w:tc>
      </w:tr>
      <w:tr>
        <w:tc>
          <w:tcPr>
            <w:tcW w:type="dxa" w:w="5083"/>
            <w:vAlign w:val="center"/>
            <w:shd w:fill="E5E7EB"/>
          </w:tcPr>
          <w:p>
            <w:r/>
            <w:r>
              <w:rPr>
                <w:rFonts w:ascii="Aptos" w:hAnsi="Aptos"/>
                <w:b/>
                <w:sz w:val="18"/>
              </w:rPr>
              <w:t>Status</w:t>
            </w:r>
          </w:p>
        </w:tc>
        <w:tc>
          <w:tcPr>
            <w:tcW w:type="dxa" w:w="5083"/>
            <w:vAlign w:val="center"/>
          </w:tcPr>
          <w:p>
            <w:r/>
            <w:r>
              <w:rPr>
                <w:rFonts w:ascii="Aptos" w:hAnsi="Aptos"/>
                <w:b w:val="0"/>
                <w:sz w:val="18"/>
              </w:rPr>
              <w:t>Provisional Working Draft</w:t>
            </w:r>
          </w:p>
        </w:tc>
      </w:tr>
      <w:tr>
        <w:tc>
          <w:tcPr>
            <w:tcW w:type="dxa" w:w="5083"/>
            <w:vAlign w:val="center"/>
            <w:shd w:fill="E5E7EB"/>
          </w:tcPr>
          <w:p>
            <w:r/>
            <w:r>
              <w:rPr>
                <w:rFonts w:ascii="Aptos" w:hAnsi="Aptos"/>
                <w:b/>
                <w:sz w:val="18"/>
              </w:rPr>
              <w:t>Entity</w:t>
            </w:r>
          </w:p>
        </w:tc>
        <w:tc>
          <w:tcPr>
            <w:tcW w:type="dxa" w:w="5083"/>
            <w:vAlign w:val="center"/>
          </w:tcPr>
          <w:p>
            <w:r/>
            <w:r>
              <w:rPr>
                <w:rFonts w:ascii="Aptos" w:hAnsi="Aptos"/>
                <w:b w:val="0"/>
                <w:sz w:val="18"/>
              </w:rPr>
              <w:t>[[CORP_NAME]]</w:t>
            </w:r>
          </w:p>
        </w:tc>
      </w:tr>
      <w:tr>
        <w:tc>
          <w:tcPr>
            <w:tcW w:type="dxa" w:w="5083"/>
            <w:vAlign w:val="center"/>
            <w:shd w:fill="E5E7EB"/>
          </w:tcPr>
          <w:p>
            <w:r/>
            <w:r>
              <w:rPr>
                <w:rFonts w:ascii="Aptos" w:hAnsi="Aptos"/>
                <w:b/>
                <w:sz w:val="18"/>
              </w:rPr>
              <w:t>Adoption</w:t>
            </w:r>
          </w:p>
        </w:tc>
        <w:tc>
          <w:tcPr>
            <w:tcW w:type="dxa" w:w="5083"/>
            <w:vAlign w:val="center"/>
          </w:tcPr>
          <w:p>
            <w:r/>
            <w:r>
              <w:rPr>
                <w:rFonts w:ascii="Aptos" w:hAnsi="Aptos"/>
                <w:b w:val="0"/>
                <w:sz w:val="18"/>
              </w:rPr>
              <w:t>Not effective until validly adopted</w:t>
            </w:r>
          </w:p>
        </w:tc>
      </w:tr>
    </w:tbl>
    <w:p>
      <w:r>
        <w:rPr>
          <w:b/>
        </w:rPr>
        <w:t xml:space="preserve">Drafting notice. </w:t>
      </w:r>
      <w:r>
        <w:t>This instrument is a governance/compliance working draft. It does not create facts that have not occurred, does not replace professional legal or tax advice, and must be conformed to verified organizational facts before adoption or filing.</w:t>
      </w:r>
    </w:p>
    <w:p>
      <w:pPr>
        <w:pStyle w:val="Heading1"/>
      </w:pPr>
      <w:r>
        <w:t>Core Rule</w:t>
      </w:r>
    </w:p>
    <w:p>
      <w:r>
        <w:t>No part of the organization's net earnings shall inure to the benefit of a private shareholder or individual, and the organization shall not be organized or operated for the benefit of private interests. Legitimate reasonable compensation, reimbursement, fair-market transactions, charitable assistance under objective exempt-purpose criteria, and other lawful arrangements are not prohibited merely because an individual benefits; the question is whether the benefit is permitted, reasonable, incidental where appropriate, and subordinate to exempt purposes.</w:t>
      </w:r>
    </w:p>
    <w:p>
      <w:pPr>
        <w:pStyle w:val="Heading1"/>
      </w:pPr>
      <w:r>
        <w:t>Risk Categories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vAlign w:val="center"/>
            <w:shd w:fill="1F4E79"/>
          </w:tcPr>
          <w:p>
            <w:r/>
            <w:r>
              <w:rPr>
                <w:rFonts w:ascii="Aptos" w:hAnsi="Aptos"/>
                <w:b/>
                <w:color w:val="FFFFFF"/>
                <w:sz w:val="18"/>
              </w:rPr>
              <w:t>Risk</w:t>
            </w:r>
          </w:p>
        </w:tc>
        <w:tc>
          <w:tcPr>
            <w:tcW w:type="dxa" w:w="3389"/>
            <w:vAlign w:val="center"/>
            <w:shd w:fill="1F4E79"/>
          </w:tcPr>
          <w:p>
            <w:r/>
            <w:r>
              <w:rPr>
                <w:rFonts w:ascii="Aptos" w:hAnsi="Aptos"/>
                <w:b/>
                <w:color w:val="FFFFFF"/>
                <w:sz w:val="18"/>
              </w:rPr>
              <w:t>Examples</w:t>
            </w:r>
          </w:p>
        </w:tc>
        <w:tc>
          <w:tcPr>
            <w:tcW w:type="dxa" w:w="3389"/>
            <w:vAlign w:val="center"/>
            <w:shd w:fill="1F4E79"/>
          </w:tcPr>
          <w:p>
            <w:r/>
            <w:r>
              <w:rPr>
                <w:rFonts w:ascii="Aptos" w:hAnsi="Aptos"/>
                <w:b/>
                <w:color w:val="FFFFFF"/>
                <w:sz w:val="18"/>
              </w:rPr>
              <w:t>Required Controls</w:t>
            </w:r>
          </w:p>
        </w:tc>
      </w:tr>
      <w:tr>
        <w:trPr>
          <w:cantSplit/>
        </w:trPr>
        <w:tc>
          <w:tcPr>
            <w:tcW w:type="dxa" w:w="3389"/>
            <w:vAlign w:val="center"/>
          </w:tcPr>
          <w:p>
            <w:r/>
            <w:r>
              <w:rPr>
                <w:rFonts w:ascii="Aptos" w:hAnsi="Aptos"/>
                <w:b w:val="0"/>
                <w:sz w:val="18"/>
              </w:rPr>
              <w:t>Inurement to insiders</w:t>
            </w:r>
          </w:p>
        </w:tc>
        <w:tc>
          <w:tcPr>
            <w:tcW w:type="dxa" w:w="3389"/>
            <w:vAlign w:val="center"/>
          </w:tcPr>
          <w:p>
            <w:r/>
            <w:r>
              <w:rPr>
                <w:rFonts w:ascii="Aptos" w:hAnsi="Aptos"/>
                <w:b w:val="0"/>
                <w:sz w:val="18"/>
              </w:rPr>
              <w:t>Excess compensation; personal bills; free private use of assets; sweetheart contracts</w:t>
            </w:r>
          </w:p>
        </w:tc>
        <w:tc>
          <w:tcPr>
            <w:tcW w:type="dxa" w:w="3389"/>
            <w:vAlign w:val="center"/>
          </w:tcPr>
          <w:p>
            <w:r/>
            <w:r>
              <w:rPr>
                <w:rFonts w:ascii="Aptos" w:hAnsi="Aptos"/>
                <w:b w:val="0"/>
                <w:sz w:val="18"/>
              </w:rPr>
              <w:t>CH-038/039/040/044; independent approval; comparability; records</w:t>
            </w:r>
          </w:p>
        </w:tc>
      </w:tr>
      <w:tr>
        <w:trPr>
          <w:cantSplit/>
        </w:trPr>
        <w:tc>
          <w:tcPr>
            <w:tcW w:type="dxa" w:w="3389"/>
            <w:vAlign w:val="center"/>
          </w:tcPr>
          <w:p>
            <w:r/>
            <w:r>
              <w:rPr>
                <w:rFonts w:ascii="Aptos" w:hAnsi="Aptos"/>
                <w:b w:val="0"/>
                <w:sz w:val="18"/>
              </w:rPr>
              <w:t>Private benefit to noninsiders</w:t>
            </w:r>
          </w:p>
        </w:tc>
        <w:tc>
          <w:tcPr>
            <w:tcW w:type="dxa" w:w="3389"/>
            <w:vAlign w:val="center"/>
          </w:tcPr>
          <w:p>
            <w:r/>
            <w:r>
              <w:rPr>
                <w:rFonts w:ascii="Aptos" w:hAnsi="Aptos"/>
                <w:b w:val="0"/>
                <w:sz w:val="18"/>
              </w:rPr>
              <w:t>Program structured primarily for a narrow private interest rather than public/religious exempt purpose</w:t>
            </w:r>
          </w:p>
        </w:tc>
        <w:tc>
          <w:tcPr>
            <w:tcW w:type="dxa" w:w="3389"/>
            <w:vAlign w:val="center"/>
          </w:tcPr>
          <w:p>
            <w:r/>
            <w:r>
              <w:rPr>
                <w:rFonts w:ascii="Aptos" w:hAnsi="Aptos"/>
                <w:b w:val="0"/>
                <w:sz w:val="18"/>
              </w:rPr>
              <w:t>Exempt-purpose analysis; class/eligibility criteria; proportionality</w:t>
            </w:r>
          </w:p>
        </w:tc>
      </w:tr>
      <w:tr>
        <w:trPr>
          <w:cantSplit/>
        </w:trPr>
        <w:tc>
          <w:tcPr>
            <w:tcW w:type="dxa" w:w="3389"/>
            <w:vAlign w:val="center"/>
          </w:tcPr>
          <w:p>
            <w:r/>
            <w:r>
              <w:rPr>
                <w:rFonts w:ascii="Aptos" w:hAnsi="Aptos"/>
                <w:b w:val="0"/>
                <w:sz w:val="18"/>
              </w:rPr>
              <w:t>Founder capture</w:t>
            </w:r>
          </w:p>
        </w:tc>
        <w:tc>
          <w:tcPr>
            <w:tcW w:type="dxa" w:w="3389"/>
            <w:vAlign w:val="center"/>
          </w:tcPr>
          <w:p>
            <w:r/>
            <w:r>
              <w:rPr>
                <w:rFonts w:ascii="Aptos" w:hAnsi="Aptos"/>
                <w:b w:val="0"/>
                <w:sz w:val="18"/>
              </w:rPr>
              <w:t>Founder treats property, donations, IP, housing, or treasury as personal resources</w:t>
            </w:r>
          </w:p>
        </w:tc>
        <w:tc>
          <w:tcPr>
            <w:tcW w:type="dxa" w:w="3389"/>
            <w:vAlign w:val="center"/>
          </w:tcPr>
          <w:p>
            <w:r/>
            <w:r>
              <w:rPr>
                <w:rFonts w:ascii="Aptos" w:hAnsi="Aptos"/>
                <w:b w:val="0"/>
                <w:sz w:val="18"/>
              </w:rPr>
              <w:t>Ownership documentation; independent Board; transaction review</w:t>
            </w:r>
          </w:p>
        </w:tc>
      </w:tr>
      <w:tr>
        <w:trPr>
          <w:cantSplit/>
        </w:trPr>
        <w:tc>
          <w:tcPr>
            <w:tcW w:type="dxa" w:w="3389"/>
            <w:vAlign w:val="center"/>
          </w:tcPr>
          <w:p>
            <w:r/>
            <w:r>
              <w:rPr>
                <w:rFonts w:ascii="Aptos" w:hAnsi="Aptos"/>
                <w:b w:val="0"/>
                <w:sz w:val="18"/>
              </w:rPr>
              <w:t>Donor capture</w:t>
            </w:r>
          </w:p>
        </w:tc>
        <w:tc>
          <w:tcPr>
            <w:tcW w:type="dxa" w:w="3389"/>
            <w:vAlign w:val="center"/>
          </w:tcPr>
          <w:p>
            <w:r/>
            <w:r>
              <w:rPr>
                <w:rFonts w:ascii="Aptos" w:hAnsi="Aptos"/>
                <w:b w:val="0"/>
                <w:sz w:val="18"/>
              </w:rPr>
              <w:t>Gift conditions purchase influence, office, doctrine, or personal benefit</w:t>
            </w:r>
          </w:p>
        </w:tc>
        <w:tc>
          <w:tcPr>
            <w:tcW w:type="dxa" w:w="3389"/>
            <w:vAlign w:val="center"/>
          </w:tcPr>
          <w:p>
            <w:r/>
            <w:r>
              <w:rPr>
                <w:rFonts w:ascii="Aptos" w:hAnsi="Aptos"/>
                <w:b w:val="0"/>
                <w:sz w:val="18"/>
              </w:rPr>
              <w:t>Gift acceptance controls; decline/modify conditions</w:t>
            </w:r>
          </w:p>
        </w:tc>
      </w:tr>
      <w:tr>
        <w:trPr>
          <w:cantSplit/>
        </w:trPr>
        <w:tc>
          <w:tcPr>
            <w:tcW w:type="dxa" w:w="3389"/>
            <w:vAlign w:val="center"/>
          </w:tcPr>
          <w:p>
            <w:r/>
            <w:r>
              <w:rPr>
                <w:rFonts w:ascii="Aptos" w:hAnsi="Aptos"/>
                <w:b w:val="0"/>
                <w:sz w:val="18"/>
              </w:rPr>
              <w:t>Benevolence abuse</w:t>
            </w:r>
          </w:p>
        </w:tc>
        <w:tc>
          <w:tcPr>
            <w:tcW w:type="dxa" w:w="3389"/>
            <w:vAlign w:val="center"/>
          </w:tcPr>
          <w:p>
            <w:r/>
            <w:r>
              <w:rPr>
                <w:rFonts w:ascii="Aptos" w:hAnsi="Aptos"/>
                <w:b w:val="0"/>
                <w:sz w:val="18"/>
              </w:rPr>
              <w:t>Assistance used as disguised compensation or favoritism</w:t>
            </w:r>
          </w:p>
        </w:tc>
        <w:tc>
          <w:tcPr>
            <w:tcW w:type="dxa" w:w="3389"/>
            <w:vAlign w:val="center"/>
          </w:tcPr>
          <w:p>
            <w:r/>
            <w:r>
              <w:rPr>
                <w:rFonts w:ascii="Aptos" w:hAnsi="Aptos"/>
                <w:b w:val="0"/>
                <w:sz w:val="18"/>
              </w:rPr>
              <w:t>Objective charitable criteria; conflicts; case documentation</w:t>
            </w:r>
          </w:p>
        </w:tc>
      </w:tr>
      <w:tr>
        <w:trPr>
          <w:cantSplit/>
        </w:trPr>
        <w:tc>
          <w:tcPr>
            <w:tcW w:type="dxa" w:w="3389"/>
            <w:vAlign w:val="center"/>
          </w:tcPr>
          <w:p>
            <w:r/>
            <w:r>
              <w:rPr>
                <w:rFonts w:ascii="Aptos" w:hAnsi="Aptos"/>
                <w:b w:val="0"/>
                <w:sz w:val="18"/>
              </w:rPr>
              <w:t>Related businesses</w:t>
            </w:r>
          </w:p>
        </w:tc>
        <w:tc>
          <w:tcPr>
            <w:tcW w:type="dxa" w:w="3389"/>
            <w:vAlign w:val="center"/>
          </w:tcPr>
          <w:p>
            <w:r/>
            <w:r>
              <w:rPr>
                <w:rFonts w:ascii="Aptos" w:hAnsi="Aptos"/>
                <w:b w:val="0"/>
                <w:sz w:val="18"/>
              </w:rPr>
              <w:t>Organization steers opportunities to insider-owned entity without fair process</w:t>
            </w:r>
          </w:p>
        </w:tc>
        <w:tc>
          <w:tcPr>
            <w:tcW w:type="dxa" w:w="3389"/>
            <w:vAlign w:val="center"/>
          </w:tcPr>
          <w:p>
            <w:r/>
            <w:r>
              <w:rPr>
                <w:rFonts w:ascii="Aptos" w:hAnsi="Aptos"/>
                <w:b w:val="0"/>
                <w:sz w:val="18"/>
              </w:rPr>
              <w:t>Disinterested review; comparability; alternatives; CH-044 record</w:t>
            </w:r>
          </w:p>
        </w:tc>
      </w:tr>
    </w:tbl>
    <w:p>
      <w:pPr>
        <w:pStyle w:val="Heading1"/>
      </w:pPr>
      <w:r>
        <w:t>Private-Benefit Review Questions</w:t>
      </w:r>
    </w:p>
    <w:p>
      <w:pPr>
        <w:pStyle w:val="ListNumber"/>
      </w:pPr>
      <w:r>
        <w:t>What exempt purpose is advanced?</w:t>
      </w:r>
    </w:p>
    <w:p>
      <w:pPr>
        <w:pStyle w:val="ListNumber"/>
      </w:pPr>
      <w:r>
        <w:t>Who receives the benefit?</w:t>
      </w:r>
    </w:p>
    <w:p>
      <w:pPr>
        <w:pStyle w:val="ListNumber"/>
      </w:pPr>
      <w:r>
        <w:t>Is the beneficiary an insider or related person?</w:t>
      </w:r>
    </w:p>
    <w:p>
      <w:pPr>
        <w:pStyle w:val="ListNumber"/>
      </w:pPr>
      <w:r>
        <w:t>Is the benefit quantitatively and qualitatively incidental to the exempt purpose, where that standard is relevant?</w:t>
      </w:r>
    </w:p>
    <w:p>
      <w:pPr>
        <w:pStyle w:val="ListNumber"/>
      </w:pPr>
      <w:r>
        <w:t>Would the organization do the same transaction if the beneficiary were unrelated?</w:t>
      </w:r>
    </w:p>
    <w:p>
      <w:pPr>
        <w:pStyle w:val="ListNumber"/>
      </w:pPr>
      <w:r>
        <w:t>Is compensation or pricing reasonable?</w:t>
      </w:r>
    </w:p>
    <w:p>
      <w:pPr>
        <w:pStyle w:val="ListNumber"/>
      </w:pPr>
      <w:r>
        <w:t>Were conflicts disclosed and neutralized?</w:t>
      </w:r>
    </w:p>
    <w:p>
      <w:pPr>
        <w:pStyle w:val="ListNumber"/>
      </w:pPr>
      <w:r>
        <w:t>Could a less privately beneficial alternative accomplish the exempt purpose?</w:t>
      </w:r>
    </w:p>
    <w:p>
      <w:pPr>
        <w:pStyle w:val="ListNumber"/>
      </w:pPr>
      <w:r>
        <w:t>Are restrictions, ownership, and follow-on rights documented?</w:t>
      </w:r>
    </w:p>
    <w:p>
      <w:pPr>
        <w:pStyle w:val="Heading1"/>
      </w:pPr>
      <w:r>
        <w:t>Founder and Minister Support</w:t>
      </w:r>
    </w:p>
    <w:p>
      <w:r>
        <w:t>The organization may compensate or support founders, ministers, employees, and contractors for genuine services or approved benefits. Such support must be authorized, reasonable, accurately reported, and institutionally owned/controlled as appropriate. Religious importance does not exempt a recipient from private-inurement controls.</w:t>
      </w:r>
    </w:p>
    <w:p>
      <w:pPr>
        <w:pStyle w:val="Heading1"/>
      </w:pPr>
      <w:r>
        <w:t>Current Legal and Administrative References</w:t>
      </w:r>
    </w:p>
    <w:p>
      <w:r>
        <w:rPr>
          <w:b/>
        </w:rPr>
        <w:t xml:space="preserve">IRS 501(c)(3) exemption requirements: </w:t>
      </w:r>
      <w:r>
        <w:t>https://www.irs.gov/charities-non-profits/charitable-organizations/exemption-requirements-501c3-organizations</w:t>
      </w:r>
    </w:p>
    <w:p>
      <w:r>
        <w:rPr>
          <w:b/>
        </w:rPr>
        <w:t xml:space="preserve">IRS Form 1023 Instructions: </w:t>
      </w:r>
      <w:r>
        <w:t>https://www.irs.gov/instructions/i1023</w:t>
      </w:r>
    </w:p>
    <w:p>
      <w:pPr>
        <w:pStyle w:val="Heading1"/>
      </w:pPr>
      <w:r>
        <w:t>Adoption and Certification</w:t>
      </w:r>
    </w:p>
    <w:p>
      <w:r>
        <w:t>This instrument becomes effective only upon valid adoption by the competent authority. Drafting, circulation, training, or use as a template does not itself constitute adoption.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vAlign w:val="center"/>
            <w:shd w:fill="1F4E79"/>
          </w:tcPr>
          <w:p>
            <w:r/>
            <w:r>
              <w:rPr>
                <w:rFonts w:ascii="Aptos" w:hAnsi="Aptos"/>
                <w:b/>
                <w:color w:val="FFFFFF"/>
                <w:sz w:val="18"/>
              </w:rPr>
              <w:t>Field</w:t>
            </w:r>
          </w:p>
        </w:tc>
        <w:tc>
          <w:tcPr>
            <w:tcW w:type="dxa" w:w="6480"/>
            <w:vAlign w:val="center"/>
            <w:shd w:fill="1F4E79"/>
          </w:tcPr>
          <w:p>
            <w:r/>
            <w:r>
              <w:rPr>
                <w:rFonts w:ascii="Aptos" w:hAnsi="Aptos"/>
                <w:b/>
                <w:color w:val="FFFFFF"/>
                <w:sz w:val="18"/>
              </w:rPr>
              <w:t>Entry</w:t>
            </w:r>
          </w:p>
        </w:tc>
      </w:tr>
      <w:tr>
        <w:trPr>
          <w:cantSplit/>
        </w:trPr>
        <w:tc>
          <w:tcPr>
            <w:tcW w:type="dxa" w:w="2880"/>
            <w:vAlign w:val="center"/>
          </w:tcPr>
          <w:p>
            <w:r/>
            <w:r>
              <w:rPr>
                <w:rFonts w:ascii="Aptos" w:hAnsi="Aptos"/>
                <w:b w:val="0"/>
                <w:sz w:val="18"/>
              </w:rPr>
              <w:t>Organization</w:t>
            </w:r>
          </w:p>
        </w:tc>
        <w:tc>
          <w:tcPr>
            <w:tcW w:type="dxa" w:w="6480"/>
            <w:vAlign w:val="center"/>
          </w:tcPr>
          <w:p>
            <w:r/>
            <w:r>
              <w:rPr>
                <w:rFonts w:ascii="Aptos" w:hAnsi="Aptos"/>
                <w:b w:val="0"/>
                <w:sz w:val="18"/>
              </w:rPr>
              <w:t>[[CORP_NAME]]</w:t>
            </w:r>
          </w:p>
        </w:tc>
      </w:tr>
      <w:tr>
        <w:trPr>
          <w:cantSplit/>
        </w:trPr>
        <w:tc>
          <w:tcPr>
            <w:tcW w:type="dxa" w:w="2880"/>
            <w:vAlign w:val="center"/>
          </w:tcPr>
          <w:p>
            <w:r/>
            <w:r>
              <w:rPr>
                <w:rFonts w:ascii="Aptos" w:hAnsi="Aptos"/>
                <w:b w:val="0"/>
                <w:sz w:val="18"/>
              </w:rPr>
              <w:t>Date of Adoption</w:t>
            </w:r>
          </w:p>
        </w:tc>
        <w:tc>
          <w:tcPr>
            <w:tcW w:type="dxa" w:w="6480"/>
            <w:vAlign w:val="center"/>
          </w:tcPr>
          <w:p>
            <w:r/>
            <w:r>
              <w:rPr>
                <w:rFonts w:ascii="Aptos" w:hAnsi="Aptos"/>
                <w:b w:val="0"/>
                <w:sz w:val="18"/>
              </w:rPr>
              <w:t>[[DATE]]</w:t>
            </w:r>
          </w:p>
        </w:tc>
      </w:tr>
      <w:tr>
        <w:trPr>
          <w:cantSplit/>
        </w:trPr>
        <w:tc>
          <w:tcPr>
            <w:tcW w:type="dxa" w:w="2880"/>
            <w:vAlign w:val="center"/>
          </w:tcPr>
          <w:p>
            <w:r/>
            <w:r>
              <w:rPr>
                <w:rFonts w:ascii="Aptos" w:hAnsi="Aptos"/>
                <w:b w:val="0"/>
                <w:sz w:val="18"/>
              </w:rPr>
              <w:t>Adopting Authority</w:t>
            </w:r>
          </w:p>
        </w:tc>
        <w:tc>
          <w:tcPr>
            <w:tcW w:type="dxa" w:w="6480"/>
            <w:vAlign w:val="center"/>
          </w:tcPr>
          <w:p>
            <w:r/>
            <w:r>
              <w:rPr>
                <w:rFonts w:ascii="Aptos" w:hAnsi="Aptos"/>
                <w:b w:val="0"/>
                <w:sz w:val="18"/>
              </w:rPr>
              <w:t>Civil Board of Directors</w:t>
            </w:r>
          </w:p>
        </w:tc>
      </w:tr>
      <w:tr>
        <w:trPr>
          <w:cantSplit/>
        </w:trPr>
        <w:tc>
          <w:tcPr>
            <w:tcW w:type="dxa" w:w="2880"/>
            <w:vAlign w:val="center"/>
          </w:tcPr>
          <w:p>
            <w:r/>
            <w:r>
              <w:rPr>
                <w:rFonts w:ascii="Aptos" w:hAnsi="Aptos"/>
                <w:b w:val="0"/>
                <w:sz w:val="18"/>
              </w:rPr>
              <w:t>Approval / Resolution</w:t>
            </w:r>
          </w:p>
        </w:tc>
        <w:tc>
          <w:tcPr>
            <w:tcW w:type="dxa" w:w="6480"/>
            <w:vAlign w:val="center"/>
          </w:tcPr>
          <w:p>
            <w:r/>
            <w:r>
              <w:rPr>
                <w:rFonts w:ascii="Aptos" w:hAnsi="Aptos"/>
                <w:b w:val="0"/>
                <w:sz w:val="18"/>
              </w:rPr>
              <w:t>[[APPROVAL_RECORD]]</w:t>
            </w:r>
          </w:p>
        </w:tc>
      </w:tr>
      <w:tr>
        <w:trPr>
          <w:cantSplit/>
        </w:trPr>
        <w:tc>
          <w:tcPr>
            <w:tcW w:type="dxa" w:w="2880"/>
            <w:vAlign w:val="center"/>
          </w:tcPr>
          <w:p>
            <w:r/>
            <w:r>
              <w:rPr>
                <w:rFonts w:ascii="Aptos" w:hAnsi="Aptos"/>
                <w:b w:val="0"/>
                <w:sz w:val="18"/>
              </w:rPr>
              <w:t>Version</w:t>
            </w:r>
          </w:p>
        </w:tc>
        <w:tc>
          <w:tcPr>
            <w:tcW w:type="dxa" w:w="6480"/>
            <w:vAlign w:val="center"/>
          </w:tcPr>
          <w:p>
            <w:r/>
            <w:r>
              <w:rPr>
                <w:rFonts w:ascii="Aptos" w:hAnsi="Aptos"/>
                <w:b w:val="0"/>
                <w:sz w:val="18"/>
              </w:rPr>
              <w:t>0.1.0</w:t>
            </w:r>
          </w:p>
        </w:tc>
      </w:tr>
    </w:tbl>
    <w:p>
      <w:r>
        <w:t>Certification</w:t>
      </w:r>
    </w:p>
    <w:p>
      <w:r>
        <w:t>I certify that the foregoing instrument was duly adopted or approved as stated above and remains in effect except as subsequently amended through valid process.</w:t>
      </w:r>
    </w:p>
    <w:p>
      <w:r>
        <w:t>Signature: ________________________________________   [[NAME / OFFICE]]   Date: [[DATE]]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Working Draft - Internal Governance / Legal &amp; Tax Review Recommended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CH-047  |  Private-Benefit and Inurement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