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Membership Standard</w:t>
      </w:r>
    </w:p>
    <w:p>
      <w:pPr>
        <w:jc w:val="center"/>
      </w:pPr>
      <w:r>
        <w:rPr>
          <w:i/>
          <w:color w:val="5B6573"/>
          <w:sz w:val="23"/>
        </w:rPr>
        <w:t>Operational standard for religious affiliation and Covenant Membership</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CH-013</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Congregational Operating Instrument</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This Standard implements MEM-001 by defining the affiliation categories, eligibility requirements, admission sequence, status controls, and evidence needed to determine who actually belongs to the Religious Body. It preserves the distinction between ecclesiastical membership and statutory corporate membership.</w:t>
      </w:r>
    </w:p>
    <w:p>
      <w:pPr>
        <w:pStyle w:val="Principle"/>
      </w:pPr>
      <w:r>
        <w:t>Membership is voluntary religious belonging, not ownership, purchase, employment, political loyalty, or surrender of conscience.</w:t>
      </w:r>
    </w:p>
    <w:p>
      <w:pPr>
        <w:pStyle w:val="Heading1"/>
      </w:pPr>
      <w:r>
        <w:t>1. Affiliation Categories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shd w:fill="1F4E79"/>
            <w:vAlign w:val="center"/>
          </w:tcPr>
          <w:p>
            <w:r>
              <w:rPr>
                <w:b/>
                <w:color w:val="FFFFFF"/>
              </w:rPr>
              <w:t>Category</w:t>
            </w:r>
          </w:p>
        </w:tc>
        <w:tc>
          <w:tcPr>
            <w:tcW w:type="dxa" w:w="2541"/>
            <w:shd w:fill="1F4E79"/>
            <w:vAlign w:val="center"/>
          </w:tcPr>
          <w:p>
            <w:r>
              <w:rPr>
                <w:b/>
                <w:color w:val="FFFFFF"/>
              </w:rPr>
              <w:t>Meaning</w:t>
            </w:r>
          </w:p>
        </w:tc>
        <w:tc>
          <w:tcPr>
            <w:tcW w:type="dxa" w:w="2541"/>
            <w:shd w:fill="1F4E79"/>
            <w:vAlign w:val="center"/>
          </w:tcPr>
          <w:p>
            <w:r>
              <w:rPr>
                <w:b/>
                <w:color w:val="FFFFFF"/>
              </w:rPr>
              <w:t>Formal admission?</w:t>
            </w:r>
          </w:p>
        </w:tc>
        <w:tc>
          <w:tcPr>
            <w:tcW w:type="dxa" w:w="2541"/>
            <w:shd w:fill="1F4E79"/>
            <w:vAlign w:val="center"/>
          </w:tcPr>
          <w:p>
            <w:r>
              <w:rPr>
                <w:b/>
                <w:color w:val="FFFFFF"/>
              </w:rPr>
              <w:t>Governance vote?</w:t>
            </w:r>
          </w:p>
        </w:tc>
      </w:tr>
      <w:tr>
        <w:trPr>
          <w:cantSplit w:val="true"/>
        </w:trPr>
        <w:tc>
          <w:tcPr>
            <w:tcW w:type="dxa" w:w="2541"/>
          </w:tcPr>
          <w:p>
            <w:r>
              <w:t>Visitor</w:t>
            </w:r>
          </w:p>
        </w:tc>
        <w:tc>
          <w:tcPr>
            <w:tcW w:type="dxa" w:w="2541"/>
          </w:tcPr>
          <w:p>
            <w:r>
              <w:t>Person exploring or attending open activities</w:t>
            </w:r>
          </w:p>
        </w:tc>
        <w:tc>
          <w:tcPr>
            <w:tcW w:type="dxa" w:w="2541"/>
          </w:tcPr>
          <w:p>
            <w:r>
              <w:t>No</w:t>
            </w:r>
          </w:p>
        </w:tc>
        <w:tc>
          <w:tcPr>
            <w:tcW w:type="dxa" w:w="2541"/>
          </w:tcPr>
          <w:p>
            <w:r>
              <w:t>No</w:t>
            </w:r>
          </w:p>
        </w:tc>
      </w:tr>
      <w:tr>
        <w:trPr>
          <w:cantSplit w:val="true"/>
        </w:trPr>
        <w:tc>
          <w:tcPr>
            <w:tcW w:type="dxa" w:w="2541"/>
          </w:tcPr>
          <w:p>
            <w:r>
              <w:t>Participant</w:t>
            </w:r>
          </w:p>
        </w:tc>
        <w:tc>
          <w:tcPr>
            <w:tcW w:type="dxa" w:w="2541"/>
          </w:tcPr>
          <w:p>
            <w:r>
              <w:t>Person participating with some regularity without formal affiliation</w:t>
            </w:r>
          </w:p>
        </w:tc>
        <w:tc>
          <w:tcPr>
            <w:tcW w:type="dxa" w:w="2541"/>
          </w:tcPr>
          <w:p>
            <w:r>
              <w:t>No</w:t>
            </w:r>
          </w:p>
        </w:tc>
        <w:tc>
          <w:tcPr>
            <w:tcW w:type="dxa" w:w="2541"/>
          </w:tcPr>
          <w:p>
            <w:r>
              <w:t>No</w:t>
            </w:r>
          </w:p>
        </w:tc>
      </w:tr>
      <w:tr>
        <w:trPr>
          <w:cantSplit w:val="true"/>
        </w:trPr>
        <w:tc>
          <w:tcPr>
            <w:tcW w:type="dxa" w:w="2541"/>
          </w:tcPr>
          <w:p>
            <w:r>
              <w:t>Adherent</w:t>
            </w:r>
          </w:p>
        </w:tc>
        <w:tc>
          <w:tcPr>
            <w:tcW w:type="dxa" w:w="2541"/>
          </w:tcPr>
          <w:p>
            <w:r>
              <w:t>Person voluntarily identifying with the Religious Body or developing tradition</w:t>
            </w:r>
          </w:p>
        </w:tc>
        <w:tc>
          <w:tcPr>
            <w:tcW w:type="dxa" w:w="2541"/>
          </w:tcPr>
          <w:p>
            <w:r>
              <w:t>Recorded recognition may be used</w:t>
            </w:r>
          </w:p>
        </w:tc>
        <w:tc>
          <w:tcPr>
            <w:tcW w:type="dxa" w:w="2541"/>
          </w:tcPr>
          <w:p>
            <w:r>
              <w:t>No</w:t>
            </w:r>
          </w:p>
        </w:tc>
      </w:tr>
      <w:tr>
        <w:trPr>
          <w:cantSplit w:val="true"/>
        </w:trPr>
        <w:tc>
          <w:tcPr>
            <w:tcW w:type="dxa" w:w="2541"/>
          </w:tcPr>
          <w:p>
            <w:r>
              <w:t>Covenant Candidate</w:t>
            </w:r>
          </w:p>
        </w:tc>
        <w:tc>
          <w:tcPr>
            <w:tcW w:type="dxa" w:w="2541"/>
          </w:tcPr>
          <w:p>
            <w:r>
              <w:t>Person formally preparing for Covenant Membership</w:t>
            </w:r>
          </w:p>
        </w:tc>
        <w:tc>
          <w:tcPr>
            <w:tcW w:type="dxa" w:w="2541"/>
          </w:tcPr>
          <w:p>
            <w:r>
              <w:t>Candidate enrollment</w:t>
            </w:r>
          </w:p>
        </w:tc>
        <w:tc>
          <w:tcPr>
            <w:tcW w:type="dxa" w:w="2541"/>
          </w:tcPr>
          <w:p>
            <w:r>
              <w:t>No</w:t>
            </w:r>
          </w:p>
        </w:tc>
      </w:tr>
      <w:tr>
        <w:trPr>
          <w:cantSplit w:val="true"/>
        </w:trPr>
        <w:tc>
          <w:tcPr>
            <w:tcW w:type="dxa" w:w="2541"/>
          </w:tcPr>
          <w:p>
            <w:r>
              <w:t>Covenant Member</w:t>
            </w:r>
          </w:p>
        </w:tc>
        <w:tc>
          <w:tcPr>
            <w:tcW w:type="dxa" w:w="2541"/>
          </w:tcPr>
          <w:p>
            <w:r>
              <w:t>Principal ordinary category of ecclesiastical membership</w:t>
            </w:r>
          </w:p>
        </w:tc>
        <w:tc>
          <w:tcPr>
            <w:tcW w:type="dxa" w:w="2541"/>
          </w:tcPr>
          <w:p>
            <w:r>
              <w:t>Yes</w:t>
            </w:r>
          </w:p>
        </w:tc>
        <w:tc>
          <w:tcPr>
            <w:tcW w:type="dxa" w:w="2541"/>
          </w:tcPr>
          <w:p>
            <w:r>
              <w:t>Only when separately governance-eligible</w:t>
            </w:r>
          </w:p>
        </w:tc>
      </w:tr>
    </w:tbl>
    <w:p>
      <w:r>
        <w:t>Ministerial office is not a membership tier. A minister may also be a Covenant Member, but credentialing and office are governed separately.</w:t>
      </w:r>
    </w:p>
    <w:p>
      <w:pPr>
        <w:pStyle w:val="Heading1"/>
      </w:pPr>
      <w:r>
        <w:t>2. Covenant Membership Eligibility</w:t>
      </w:r>
    </w:p>
    <w:p>
      <w:r>
        <w:t>1.  Applicant is ordinarily at least eighteen years old.</w:t>
      </w:r>
    </w:p>
    <w:p>
      <w:r>
        <w:t>2.  Applicant voluntarily requests Covenant Membership.</w:t>
      </w:r>
    </w:p>
    <w:p>
      <w:r>
        <w:t>3.  Applicant completes the required membership formation program or an approved equivalent.</w:t>
      </w:r>
    </w:p>
    <w:p>
      <w:r>
        <w:t>4.  Applicant receives the currently adopted Covenant and all material membership obligations before admission.</w:t>
      </w:r>
    </w:p>
    <w:p>
      <w:r>
        <w:t>5.  Applicant demonstrates sufficient understanding to consent meaningfully to the Covenant.</w:t>
      </w:r>
    </w:p>
    <w:p>
      <w:r>
        <w:t>6.  Applicant affirms only those religious commitments expressly designated as required for Covenant Membership; uncertainty on non-required questions shall not be treated as dishonesty.</w:t>
      </w:r>
    </w:p>
    <w:p>
      <w:r>
        <w:t>7.  Applicant agrees to safeguarding, community conduct, accountability, and constitutional processes.</w:t>
      </w:r>
    </w:p>
    <w:p>
      <w:r>
        <w:t>8.  Applicant is reviewed by the competent membership body under MEM-001 and implementing procedures.</w:t>
      </w:r>
    </w:p>
    <w:p>
      <w:r>
        <w:t>9.  Admission is approved, the Covenant is affirmed, and the person is entered in the Membership Register.</w:t>
      </w:r>
    </w:p>
    <w:p>
      <w:pPr>
        <w:pStyle w:val="Heading1"/>
      </w:pPr>
      <w:r>
        <w:t>3. Formation Curriculum</w:t>
      </w:r>
    </w:p>
    <w:p>
      <w:pPr>
        <w:pStyle w:val="ListBullet"/>
      </w:pPr>
      <w:r>
        <w:t>Religious identity, mission, and present Foundational Principles.</w:t>
      </w:r>
    </w:p>
    <w:p>
      <w:pPr>
        <w:pStyle w:val="ListBullet"/>
      </w:pPr>
      <w:r>
        <w:t>Principal practices and regular worship.</w:t>
      </w:r>
    </w:p>
    <w:p>
      <w:pPr>
        <w:pStyle w:val="ListBullet"/>
      </w:pPr>
      <w:r>
        <w:t>Civil and ecclesiastical governance.</w:t>
      </w:r>
    </w:p>
    <w:p>
      <w:pPr>
        <w:pStyle w:val="ListBullet"/>
      </w:pPr>
      <w:r>
        <w:t>Rights and responsibilities of Covenant Members.</w:t>
      </w:r>
    </w:p>
    <w:p>
      <w:pPr>
        <w:pStyle w:val="ListBullet"/>
      </w:pPr>
      <w:r>
        <w:t>Safeguarding, complaint, grievance, and external reporting channels.</w:t>
      </w:r>
    </w:p>
    <w:p>
      <w:pPr>
        <w:pStyle w:val="ListBullet"/>
      </w:pPr>
      <w:r>
        <w:t>Discipline and appeal.</w:t>
      </w:r>
    </w:p>
    <w:p>
      <w:pPr>
        <w:pStyle w:val="ListBullet"/>
      </w:pPr>
      <w:r>
        <w:t>Freedom of conscience and freedom to withdraw.</w:t>
      </w:r>
    </w:p>
    <w:p>
      <w:pPr>
        <w:pStyle w:val="ListBullet"/>
      </w:pPr>
      <w:r>
        <w:t>Distinction between Covenant Membership and statutory corporate membership.</w:t>
      </w:r>
    </w:p>
    <w:p>
      <w:pPr>
        <w:pStyle w:val="Heading1"/>
      </w:pPr>
      <w:r>
        <w:t>4. Admission Process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Stage</w:t>
            </w:r>
          </w:p>
        </w:tc>
        <w:tc>
          <w:tcPr>
            <w:tcW w:type="dxa" w:w="3389"/>
            <w:shd w:fill="1F4E79"/>
            <w:vAlign w:val="center"/>
          </w:tcPr>
          <w:p>
            <w:r>
              <w:rPr>
                <w:b/>
                <w:color w:val="FFFFFF"/>
              </w:rPr>
              <w:t>Required Record</w:t>
            </w:r>
          </w:p>
        </w:tc>
        <w:tc>
          <w:tcPr>
            <w:tcW w:type="dxa" w:w="3389"/>
            <w:shd w:fill="1F4E79"/>
            <w:vAlign w:val="center"/>
          </w:tcPr>
          <w:p>
            <w:r>
              <w:rPr>
                <w:b/>
                <w:color w:val="FFFFFF"/>
              </w:rPr>
              <w:t>Decision / Result</w:t>
            </w:r>
          </w:p>
        </w:tc>
      </w:tr>
      <w:tr>
        <w:trPr>
          <w:cantSplit w:val="true"/>
        </w:trPr>
        <w:tc>
          <w:tcPr>
            <w:tcW w:type="dxa" w:w="3389"/>
          </w:tcPr>
          <w:p>
            <w:r>
              <w:t>Inquiry</w:t>
            </w:r>
          </w:p>
        </w:tc>
        <w:tc>
          <w:tcPr>
            <w:tcW w:type="dxa" w:w="3389"/>
          </w:tcPr>
          <w:p>
            <w:r>
              <w:t>Inquiry or candidate record</w:t>
            </w:r>
          </w:p>
        </w:tc>
        <w:tc>
          <w:tcPr>
            <w:tcW w:type="dxa" w:w="3389"/>
          </w:tcPr>
          <w:p>
            <w:r>
              <w:t>No membership created</w:t>
            </w:r>
          </w:p>
        </w:tc>
      </w:tr>
      <w:tr>
        <w:trPr>
          <w:cantSplit w:val="true"/>
        </w:trPr>
        <w:tc>
          <w:tcPr>
            <w:tcW w:type="dxa" w:w="3389"/>
          </w:tcPr>
          <w:p>
            <w:r>
              <w:t>Formation</w:t>
            </w:r>
          </w:p>
        </w:tc>
        <w:tc>
          <w:tcPr>
            <w:tcW w:type="dxa" w:w="3389"/>
          </w:tcPr>
          <w:p>
            <w:r>
              <w:t>Completion record</w:t>
            </w:r>
          </w:p>
        </w:tc>
        <w:tc>
          <w:tcPr>
            <w:tcW w:type="dxa" w:w="3389"/>
          </w:tcPr>
          <w:p>
            <w:r>
              <w:t>Eligible to apply when complete</w:t>
            </w:r>
          </w:p>
        </w:tc>
      </w:tr>
      <w:tr>
        <w:trPr>
          <w:cantSplit w:val="true"/>
        </w:trPr>
        <w:tc>
          <w:tcPr>
            <w:tcW w:type="dxa" w:w="3389"/>
          </w:tcPr>
          <w:p>
            <w:r>
              <w:t>Application</w:t>
            </w:r>
          </w:p>
        </w:tc>
        <w:tc>
          <w:tcPr>
            <w:tcW w:type="dxa" w:w="3389"/>
          </w:tcPr>
          <w:p>
            <w:r>
              <w:t>Signed/affirmed application</w:t>
            </w:r>
          </w:p>
        </w:tc>
        <w:tc>
          <w:tcPr>
            <w:tcW w:type="dxa" w:w="3389"/>
          </w:tcPr>
          <w:p>
            <w:r>
              <w:t>Review opened</w:t>
            </w:r>
          </w:p>
        </w:tc>
      </w:tr>
      <w:tr>
        <w:trPr>
          <w:cantSplit w:val="true"/>
        </w:trPr>
        <w:tc>
          <w:tcPr>
            <w:tcW w:type="dxa" w:w="3389"/>
          </w:tcPr>
          <w:p>
            <w:r>
              <w:t>Discernment conversation</w:t>
            </w:r>
          </w:p>
        </w:tc>
        <w:tc>
          <w:tcPr>
            <w:tcW w:type="dxa" w:w="3389"/>
          </w:tcPr>
          <w:p>
            <w:r>
              <w:t>Interview record</w:t>
            </w:r>
          </w:p>
        </w:tc>
        <w:tc>
          <w:tcPr>
            <w:tcW w:type="dxa" w:w="3389"/>
          </w:tcPr>
          <w:p>
            <w:r>
              <w:t>Questions and readiness documented</w:t>
            </w:r>
          </w:p>
        </w:tc>
      </w:tr>
      <w:tr>
        <w:trPr>
          <w:cantSplit w:val="true"/>
        </w:trPr>
        <w:tc>
          <w:tcPr>
            <w:tcW w:type="dxa" w:w="3389"/>
          </w:tcPr>
          <w:p>
            <w:r>
              <w:t>Admission review</w:t>
            </w:r>
          </w:p>
        </w:tc>
        <w:tc>
          <w:tcPr>
            <w:tcW w:type="dxa" w:w="3389"/>
          </w:tcPr>
          <w:p>
            <w:r>
              <w:t>Decision record</w:t>
            </w:r>
          </w:p>
        </w:tc>
        <w:tc>
          <w:tcPr>
            <w:tcW w:type="dxa" w:w="3389"/>
          </w:tcPr>
          <w:p>
            <w:r>
              <w:t>Approve / defer / additional formation / deny</w:t>
            </w:r>
          </w:p>
        </w:tc>
      </w:tr>
      <w:tr>
        <w:trPr>
          <w:cantSplit w:val="true"/>
        </w:trPr>
        <w:tc>
          <w:tcPr>
            <w:tcW w:type="dxa" w:w="3389"/>
          </w:tcPr>
          <w:p>
            <w:r>
              <w:t>Covenant affirmation</w:t>
            </w:r>
          </w:p>
        </w:tc>
        <w:tc>
          <w:tcPr>
            <w:tcW w:type="dxa" w:w="3389"/>
          </w:tcPr>
          <w:p>
            <w:r>
              <w:t>CH-014 acknowledgment</w:t>
            </w:r>
          </w:p>
        </w:tc>
        <w:tc>
          <w:tcPr>
            <w:tcW w:type="dxa" w:w="3389"/>
          </w:tcPr>
          <w:p>
            <w:r>
              <w:t>Voluntary commitment documented</w:t>
            </w:r>
          </w:p>
        </w:tc>
      </w:tr>
      <w:tr>
        <w:trPr>
          <w:cantSplit w:val="true"/>
        </w:trPr>
        <w:tc>
          <w:tcPr>
            <w:tcW w:type="dxa" w:w="3389"/>
          </w:tcPr>
          <w:p>
            <w:r>
              <w:t>Registry entry</w:t>
            </w:r>
          </w:p>
        </w:tc>
        <w:tc>
          <w:tcPr>
            <w:tcW w:type="dxa" w:w="3389"/>
          </w:tcPr>
          <w:p>
            <w:r>
              <w:t>CH-015 entry</w:t>
            </w:r>
          </w:p>
        </w:tc>
        <w:tc>
          <w:tcPr>
            <w:tcW w:type="dxa" w:w="3389"/>
          </w:tcPr>
          <w:p>
            <w:r>
              <w:t>Membership effective</w:t>
            </w:r>
          </w:p>
        </w:tc>
      </w:tr>
    </w:tbl>
    <w:p>
      <w:pPr>
        <w:pStyle w:val="Heading1"/>
      </w:pPr>
      <w:r>
        <w:t>5. Good Standing and Governance Eligibility</w:t>
      </w:r>
    </w:p>
    <w:p>
      <w:r>
        <w:t>Good Standing means active Covenant Membership not subject to a governance-affecting suspension or final termination. It does not mean moral perfection, total doctrinal certainty, or uninterrupted attendance.</w:t>
      </w:r>
    </w:p>
    <w:p>
      <w:r>
        <w:t>Unless a valid founding transition rule applies, governance eligibility ordinarily requires adulthood, Good Standing, at least ninety days of continuous Covenant Membership, and satisfaction of the applicable record date and suspension rules.</w:t>
      </w:r>
    </w:p>
    <w:p>
      <w:pPr>
        <w:pStyle w:val="Heading1"/>
      </w:pPr>
      <w:r>
        <w:t>6. Rights</w:t>
      </w:r>
    </w:p>
    <w:p>
      <w:pPr>
        <w:pStyle w:val="ListBullet"/>
      </w:pPr>
      <w:r>
        <w:t>Religious participation appropriate to status.</w:t>
      </w:r>
    </w:p>
    <w:p>
      <w:pPr>
        <w:pStyle w:val="ListBullet"/>
      </w:pPr>
      <w:r>
        <w:t>Good-faith religious inquiry and access to the governing documents applicable to membership.</w:t>
      </w:r>
    </w:p>
    <w:p>
      <w:pPr>
        <w:pStyle w:val="ListBullet"/>
      </w:pPr>
      <w:r>
        <w:t>Safeguarding and grievance reporting without permission from a chain of command.</w:t>
      </w:r>
    </w:p>
    <w:p>
      <w:pPr>
        <w:pStyle w:val="ListBullet"/>
      </w:pPr>
      <w:r>
        <w:t>Fair process before serious membership sanctions.</w:t>
      </w:r>
    </w:p>
    <w:p>
      <w:pPr>
        <w:pStyle w:val="ListBullet"/>
      </w:pPr>
      <w:r>
        <w:t>Appeal where provided by governing instruments.</w:t>
      </w:r>
    </w:p>
    <w:p>
      <w:pPr>
        <w:pStyle w:val="ListBullet"/>
      </w:pPr>
      <w:r>
        <w:t>Protection from retaliation for good-faith reporting, petition, or inquiry.</w:t>
      </w:r>
    </w:p>
    <w:p>
      <w:pPr>
        <w:pStyle w:val="ListBullet"/>
      </w:pPr>
      <w:r>
        <w:t>Voluntary withdrawal.</w:t>
      </w:r>
    </w:p>
    <w:p>
      <w:pPr>
        <w:pStyle w:val="ListBullet"/>
      </w:pPr>
      <w:r>
        <w:t>Privacy appropriate to membership records.</w:t>
      </w:r>
    </w:p>
    <w:p>
      <w:pPr>
        <w:pStyle w:val="ListBullet"/>
      </w:pPr>
      <w:r>
        <w:t>CMA participation and reserved-power voting when constitutionally eligible.</w:t>
      </w:r>
    </w:p>
    <w:p>
      <w:pPr>
        <w:pStyle w:val="Heading1"/>
      </w:pPr>
      <w:r>
        <w:t>7. Responsibilities</w:t>
      </w:r>
    </w:p>
    <w:p>
      <w:pPr>
        <w:pStyle w:val="ListBullet"/>
      </w:pPr>
      <w:r>
        <w:t>Honor the adopted membership Covenant.</w:t>
      </w:r>
    </w:p>
    <w:p>
      <w:pPr>
        <w:pStyle w:val="ListBullet"/>
      </w:pPr>
      <w:r>
        <w:t>Respect human dignity and community safeguarding standards.</w:t>
      </w:r>
    </w:p>
    <w:p>
      <w:pPr>
        <w:pStyle w:val="ListBullet"/>
      </w:pPr>
      <w:r>
        <w:t>Refrain from abuse, exploitation, coercion, knowing falsehood, and manipulation of membership or voting processes.</w:t>
      </w:r>
    </w:p>
    <w:p>
      <w:pPr>
        <w:pStyle w:val="ListBullet"/>
      </w:pPr>
      <w:r>
        <w:t>Participate honestly in communal discernment.</w:t>
      </w:r>
    </w:p>
    <w:p>
      <w:pPr>
        <w:pStyle w:val="ListBullet"/>
      </w:pPr>
      <w:r>
        <w:t>Respect legitimate confidentiality without using confidentiality to conceal wrongdoing.</w:t>
      </w:r>
    </w:p>
    <w:p>
      <w:pPr>
        <w:pStyle w:val="ListBullet"/>
      </w:pPr>
      <w:r>
        <w:t>Disclose relevant conflicts when exercising governance rights.</w:t>
      </w:r>
    </w:p>
    <w:p>
      <w:pPr>
        <w:pStyle w:val="ListBullet"/>
      </w:pPr>
      <w:r>
        <w:t>Support community life as reasonably able; financial giving is voluntary unless future doctrine validly provides otherwise.</w:t>
      </w:r>
    </w:p>
    <w:p>
      <w:pPr>
        <w:pStyle w:val="Heading1"/>
      </w:pPr>
      <w:r>
        <w:t>8. Dual Religious Affiliation</w:t>
      </w:r>
    </w:p>
    <w:p>
      <w:r>
        <w:t>Ordinary attendance at, relationship with, or study of another religious community is not automatically prohibited. The policy on simultaneous formal membership in another church, denomination, or religious body remains [[DUAL_AFFILIATION_POLICY_TO_BE_ADOPTED]]. Any future restriction must be stated openly and applied consistently.</w:t>
      </w:r>
    </w:p>
    <w:p>
      <w:pPr>
        <w:pStyle w:val="Heading1"/>
      </w:pPr>
      <w:r>
        <w:t>9. Status Changes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Change</w:t>
            </w:r>
          </w:p>
        </w:tc>
        <w:tc>
          <w:tcPr>
            <w:tcW w:type="dxa" w:w="5083"/>
            <w:shd w:fill="1F4E79"/>
            <w:vAlign w:val="center"/>
          </w:tcPr>
          <w:p>
            <w:r>
              <w:rPr>
                <w:b/>
                <w:color w:val="FFFFFF"/>
              </w:rPr>
              <w:t>Process</w:t>
            </w:r>
          </w:p>
        </w:tc>
      </w:tr>
      <w:tr>
        <w:trPr>
          <w:cantSplit w:val="true"/>
        </w:trPr>
        <w:tc>
          <w:tcPr>
            <w:tcW w:type="dxa" w:w="5083"/>
          </w:tcPr>
          <w:p>
            <w:r>
              <w:t>Active to inactive</w:t>
            </w:r>
          </w:p>
        </w:tc>
        <w:tc>
          <w:tcPr>
            <w:tcW w:type="dxa" w:w="5083"/>
          </w:tcPr>
          <w:p>
            <w:r>
              <w:t>Administrative review after prolonged lack of contact; not discipline by default</w:t>
            </w:r>
          </w:p>
        </w:tc>
      </w:tr>
      <w:tr>
        <w:trPr>
          <w:cantSplit w:val="true"/>
        </w:trPr>
        <w:tc>
          <w:tcPr>
            <w:tcW w:type="dxa" w:w="5083"/>
          </w:tcPr>
          <w:p>
            <w:r>
              <w:t>Voluntary withdrawal</w:t>
            </w:r>
          </w:p>
        </w:tc>
        <w:tc>
          <w:tcPr>
            <w:tcW w:type="dxa" w:w="5083"/>
          </w:tcPr>
          <w:p>
            <w:r>
              <w:t>Written or reliably documented request; prompt registry update</w:t>
            </w:r>
          </w:p>
        </w:tc>
      </w:tr>
      <w:tr>
        <w:trPr>
          <w:cantSplit w:val="true"/>
        </w:trPr>
        <w:tc>
          <w:tcPr>
            <w:tcW w:type="dxa" w:w="5083"/>
          </w:tcPr>
          <w:p>
            <w:r>
              <w:t>Suspension</w:t>
            </w:r>
          </w:p>
        </w:tc>
        <w:tc>
          <w:tcPr>
            <w:tcW w:type="dxa" w:w="5083"/>
          </w:tcPr>
          <w:p>
            <w:r>
              <w:t>Only through authorized process</w:t>
            </w:r>
          </w:p>
        </w:tc>
      </w:tr>
      <w:tr>
        <w:trPr>
          <w:cantSplit w:val="true"/>
        </w:trPr>
        <w:tc>
          <w:tcPr>
            <w:tcW w:type="dxa" w:w="5083"/>
          </w:tcPr>
          <w:p>
            <w:r>
              <w:t>Termination</w:t>
            </w:r>
          </w:p>
        </w:tc>
        <w:tc>
          <w:tcPr>
            <w:tcW w:type="dxa" w:w="5083"/>
          </w:tcPr>
          <w:p>
            <w:r>
              <w:t>Final decision through authorized process with applicable appeal</w:t>
            </w:r>
          </w:p>
        </w:tc>
      </w:tr>
      <w:tr>
        <w:trPr>
          <w:cantSplit w:val="true"/>
        </w:trPr>
        <w:tc>
          <w:tcPr>
            <w:tcW w:type="dxa" w:w="5083"/>
          </w:tcPr>
          <w:p>
            <w:r>
              <w:t>Restoration</w:t>
            </w:r>
          </w:p>
        </w:tc>
        <w:tc>
          <w:tcPr>
            <w:tcW w:type="dxa" w:w="5083"/>
          </w:tcPr>
          <w:p>
            <w:r>
              <w:t>Defined restoration process; historical record preserved</w:t>
            </w:r>
          </w:p>
        </w:tc>
      </w:tr>
      <w:tr>
        <w:trPr>
          <w:cantSplit w:val="true"/>
        </w:trPr>
        <w:tc>
          <w:tcPr>
            <w:tcW w:type="dxa" w:w="5083"/>
          </w:tcPr>
          <w:p>
            <w:r>
              <w:t>Record correction</w:t>
            </w:r>
          </w:p>
        </w:tc>
        <w:tc>
          <w:tcPr>
            <w:tcW w:type="dxa" w:w="5083"/>
          </w:tcPr>
          <w:p>
            <w:r>
              <w:t>Administrative correction with change log; no retroactive manipulation of governance eligibility</w:t>
            </w:r>
          </w:p>
        </w:tc>
      </w:tr>
    </w:tbl>
    <w:p>
      <w:pPr>
        <w:pStyle w:val="Heading1"/>
      </w:pPr>
      <w:r>
        <w:t>10. Anti-Manipulation Controls</w:t>
      </w:r>
    </w:p>
    <w:p>
      <w:pPr>
        <w:pStyle w:val="ListBullet"/>
      </w:pPr>
      <w:r>
        <w:t>No purchase of membership through gifts, dues, property, labor, or influence.</w:t>
      </w:r>
    </w:p>
    <w:p>
      <w:pPr>
        <w:pStyle w:val="ListBullet"/>
      </w:pPr>
      <w:r>
        <w:t>No backdated admission to alter a vote or historical membership count.</w:t>
      </w:r>
    </w:p>
    <w:p>
      <w:pPr>
        <w:pStyle w:val="ListBullet"/>
      </w:pPr>
      <w:r>
        <w:t>No unilateral packing or purging of membership rolls for a governance outcome.</w:t>
      </w:r>
    </w:p>
    <w:p>
      <w:pPr>
        <w:pStyle w:val="ListBullet"/>
      </w:pPr>
      <w:r>
        <w:t>No denial of membership merely for good-faith questioning of matters not required by the Covenant.</w:t>
      </w:r>
    </w:p>
    <w:p>
      <w:pPr>
        <w:pStyle w:val="ListBullet"/>
      </w:pPr>
      <w:r>
        <w:t>No hidden obligations.</w:t>
      </w:r>
    </w:p>
    <w:p>
      <w:pPr>
        <w:pStyle w:val="Heading2"/>
      </w:pPr>
      <w:r>
        <w:t>Current IRS Reference</w:t>
      </w:r>
    </w:p>
    <w:p>
      <w:r>
        <w:t>Current Form 1023 instructions describe church classification as a facts-and-circumstances inquiry and ask specifically about regularly scheduled services, average attendance, established worship locations, established congregations, member counts, membership processes, member rights, and related practices. The organization should answer any future IRS application from contemporaneous records rather than reconstructing facts after the event.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Source</w:t>
            </w:r>
          </w:p>
        </w:tc>
        <w:tc>
          <w:tcPr>
            <w:tcW w:type="dxa" w:w="5083"/>
            <w:shd w:fill="1F4E79"/>
            <w:vAlign w:val="center"/>
          </w:tcPr>
          <w:p>
            <w:r>
              <w:rPr>
                <w:b/>
                <w:color w:val="FFFFFF"/>
              </w:rPr>
              <w:t>URL</w:t>
            </w:r>
          </w:p>
        </w:tc>
      </w:tr>
      <w:tr>
        <w:trPr>
          <w:cantSplit w:val="true"/>
        </w:trPr>
        <w:tc>
          <w:tcPr>
            <w:tcW w:type="dxa" w:w="5083"/>
          </w:tcPr>
          <w:p>
            <w:r>
              <w:t>IRS - Instructions for Form 1023</w:t>
            </w:r>
          </w:p>
        </w:tc>
        <w:tc>
          <w:tcPr>
            <w:tcW w:type="dxa" w:w="5083"/>
          </w:tcPr>
          <w:p>
            <w:r>
              <w:t>https://www.irs.gov/instructions/i1023</w:t>
            </w:r>
          </w:p>
        </w:tc>
      </w:tr>
      <w:tr>
        <w:trPr>
          <w:cantSplit w:val="true"/>
        </w:trPr>
        <w:tc>
          <w:tcPr>
            <w:tcW w:type="dxa" w:w="5083"/>
          </w:tcPr>
          <w:p>
            <w:r>
              <w:t>IRS - Form 1023</w:t>
            </w:r>
          </w:p>
        </w:tc>
        <w:tc>
          <w:tcPr>
            <w:tcW w:type="dxa" w:w="5083"/>
          </w:tcPr>
          <w:p>
            <w:r>
              <w:t>https://www.irs.gov/pub/irs-pdf/f1023.pdf</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CH-013 | Membership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