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Regular Worship Schedule</w:t>
      </w:r>
    </w:p>
    <w:p>
      <w:pPr>
        <w:jc w:val="center"/>
      </w:pPr>
      <w:r>
        <w:rPr>
          <w:i/>
          <w:color w:val="5B6573"/>
          <w:sz w:val="23"/>
        </w:rPr>
        <w:t>Canonical recurring schedule and service-continuity standard</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CH-018</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Worship Operations Instrument</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w:t>
      </w:r>
    </w:p>
    <w:p>
      <w:r>
        <w:t>This instrument establishes the recurring public schedule of religious services. Before adoption, the Religious Body must replace schedule placeholders with the actual days, times, locations, and service types it sincerely intends to conduct on a continuing basis.</w:t>
      </w:r>
    </w:p>
    <w:p>
      <w:pPr>
        <w:pStyle w:val="Heading1"/>
      </w:pPr>
      <w:r>
        <w:t>1. Canonical Schedule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val="true"/>
        </w:trPr>
        <w:tc>
          <w:tcPr>
            <w:tcW w:type="dxa" w:w="1694"/>
            <w:shd w:fill="1F4E79"/>
            <w:vAlign w:val="center"/>
          </w:tcPr>
          <w:p>
            <w:r>
              <w:rPr>
                <w:b/>
                <w:color w:val="FFFFFF"/>
              </w:rPr>
              <w:t>Service</w:t>
            </w:r>
          </w:p>
        </w:tc>
        <w:tc>
          <w:tcPr>
            <w:tcW w:type="dxa" w:w="1694"/>
            <w:shd w:fill="1F4E79"/>
            <w:vAlign w:val="center"/>
          </w:tcPr>
          <w:p>
            <w:r>
              <w:rPr>
                <w:b/>
                <w:color w:val="FFFFFF"/>
              </w:rPr>
              <w:t>Frequency</w:t>
            </w:r>
          </w:p>
        </w:tc>
        <w:tc>
          <w:tcPr>
            <w:tcW w:type="dxa" w:w="1694"/>
            <w:shd w:fill="1F4E79"/>
            <w:vAlign w:val="center"/>
          </w:tcPr>
          <w:p>
            <w:r>
              <w:rPr>
                <w:b/>
                <w:color w:val="FFFFFF"/>
              </w:rPr>
              <w:t>Day</w:t>
            </w:r>
          </w:p>
        </w:tc>
        <w:tc>
          <w:tcPr>
            <w:tcW w:type="dxa" w:w="1694"/>
            <w:shd w:fill="1F4E79"/>
            <w:vAlign w:val="center"/>
          </w:tcPr>
          <w:p>
            <w:r>
              <w:rPr>
                <w:b/>
                <w:color w:val="FFFFFF"/>
              </w:rPr>
              <w:t>Time</w:t>
            </w:r>
          </w:p>
        </w:tc>
        <w:tc>
          <w:tcPr>
            <w:tcW w:type="dxa" w:w="1694"/>
            <w:shd w:fill="1F4E79"/>
            <w:vAlign w:val="center"/>
          </w:tcPr>
          <w:p>
            <w:r>
              <w:rPr>
                <w:b/>
                <w:color w:val="FFFFFF"/>
              </w:rPr>
              <w:t>Location</w:t>
            </w:r>
          </w:p>
        </w:tc>
        <w:tc>
          <w:tcPr>
            <w:tcW w:type="dxa" w:w="1694"/>
            <w:shd w:fill="1F4E79"/>
            <w:vAlign w:val="center"/>
          </w:tcPr>
          <w:p>
            <w:r>
              <w:rPr>
                <w:b/>
                <w:color w:val="FFFFFF"/>
              </w:rPr>
              <w:t>Public / Member</w:t>
            </w:r>
          </w:p>
        </w:tc>
      </w:tr>
      <w:tr>
        <w:trPr>
          <w:cantSplit w:val="true"/>
        </w:trPr>
        <w:tc>
          <w:tcPr>
            <w:tcW w:type="dxa" w:w="1694"/>
          </w:tcPr>
          <w:p>
            <w:r>
              <w:t>Primary congregational worship</w:t>
            </w:r>
          </w:p>
        </w:tc>
        <w:tc>
          <w:tcPr>
            <w:tcW w:type="dxa" w:w="1694"/>
          </w:tcPr>
          <w:p>
            <w:r>
              <w:t>Weekly</w:t>
            </w:r>
          </w:p>
        </w:tc>
        <w:tc>
          <w:tcPr>
            <w:tcW w:type="dxa" w:w="1694"/>
          </w:tcPr>
          <w:p>
            <w:r>
              <w:t>[[DAY]]</w:t>
            </w:r>
          </w:p>
        </w:tc>
        <w:tc>
          <w:tcPr>
            <w:tcW w:type="dxa" w:w="1694"/>
          </w:tcPr>
          <w:p>
            <w:r>
              <w:t>[[START-END]]</w:t>
            </w:r>
          </w:p>
        </w:tc>
        <w:tc>
          <w:tcPr>
            <w:tcW w:type="dxa" w:w="1694"/>
          </w:tcPr>
          <w:p>
            <w:r>
              <w:t>[[PRIMARY_SITE_ID / ADDRESS]]</w:t>
            </w:r>
          </w:p>
        </w:tc>
        <w:tc>
          <w:tcPr>
            <w:tcW w:type="dxa" w:w="1694"/>
          </w:tcPr>
          <w:p>
            <w:r>
              <w:t>Public unless otherwise designated</w:t>
            </w:r>
          </w:p>
        </w:tc>
      </w:tr>
      <w:tr>
        <w:trPr>
          <w:cantSplit w:val="true"/>
        </w:trPr>
        <w:tc>
          <w:tcPr>
            <w:tcW w:type="dxa" w:w="1694"/>
          </w:tcPr>
          <w:p>
            <w:r>
              <w:t>Religious study / formation</w:t>
            </w:r>
          </w:p>
        </w:tc>
        <w:tc>
          <w:tcPr>
            <w:tcW w:type="dxa" w:w="1694"/>
          </w:tcPr>
          <w:p>
            <w:r>
              <w:t>[[WEEKLY / OTHER]]</w:t>
            </w:r>
          </w:p>
        </w:tc>
        <w:tc>
          <w:tcPr>
            <w:tcW w:type="dxa" w:w="1694"/>
          </w:tcPr>
          <w:p>
            <w:r>
              <w:t>[[DAY]]</w:t>
            </w:r>
          </w:p>
        </w:tc>
        <w:tc>
          <w:tcPr>
            <w:tcW w:type="dxa" w:w="1694"/>
          </w:tcPr>
          <w:p>
            <w:r>
              <w:t>[[TIME]]</w:t>
            </w:r>
          </w:p>
        </w:tc>
        <w:tc>
          <w:tcPr>
            <w:tcW w:type="dxa" w:w="1694"/>
          </w:tcPr>
          <w:p>
            <w:r>
              <w:t>[[SITE / ONLINE]]</w:t>
            </w:r>
          </w:p>
        </w:tc>
        <w:tc>
          <w:tcPr>
            <w:tcW w:type="dxa" w:w="1694"/>
          </w:tcPr>
          <w:p>
            <w:r>
              <w:t>[[PUBLIC / PARTICIPANTS]]</w:t>
            </w:r>
          </w:p>
        </w:tc>
      </w:tr>
      <w:tr>
        <w:trPr>
          <w:cantSplit w:val="true"/>
        </w:trPr>
        <w:tc>
          <w:tcPr>
            <w:tcW w:type="dxa" w:w="1694"/>
          </w:tcPr>
          <w:p>
            <w:r>
              <w:t>Contemplative / prayer gathering</w:t>
            </w:r>
          </w:p>
        </w:tc>
        <w:tc>
          <w:tcPr>
            <w:tcW w:type="dxa" w:w="1694"/>
          </w:tcPr>
          <w:p>
            <w:r>
              <w:t>[[FREQUENCY]]</w:t>
            </w:r>
          </w:p>
        </w:tc>
        <w:tc>
          <w:tcPr>
            <w:tcW w:type="dxa" w:w="1694"/>
          </w:tcPr>
          <w:p>
            <w:r>
              <w:t>[[DAY]]</w:t>
            </w:r>
          </w:p>
        </w:tc>
        <w:tc>
          <w:tcPr>
            <w:tcW w:type="dxa" w:w="1694"/>
          </w:tcPr>
          <w:p>
            <w:r>
              <w:t>[[TIME]]</w:t>
            </w:r>
          </w:p>
        </w:tc>
        <w:tc>
          <w:tcPr>
            <w:tcW w:type="dxa" w:w="1694"/>
          </w:tcPr>
          <w:p>
            <w:r>
              <w:t>[[SITE / ONLINE]]</w:t>
            </w:r>
          </w:p>
        </w:tc>
        <w:tc>
          <w:tcPr>
            <w:tcW w:type="dxa" w:w="1694"/>
          </w:tcPr>
          <w:p>
            <w:r>
              <w:t>[[PUBLIC / PARTICIPANTS]]</w:t>
            </w:r>
          </w:p>
        </w:tc>
      </w:tr>
      <w:tr>
        <w:trPr>
          <w:cantSplit w:val="true"/>
        </w:trPr>
        <w:tc>
          <w:tcPr>
            <w:tcW w:type="dxa" w:w="1694"/>
          </w:tcPr>
          <w:p>
            <w:r>
              <w:t>Youth religious instruction</w:t>
            </w:r>
          </w:p>
        </w:tc>
        <w:tc>
          <w:tcPr>
            <w:tcW w:type="dxa" w:w="1694"/>
          </w:tcPr>
          <w:p>
            <w:r>
              <w:t>[[IF OFFERED]]</w:t>
            </w:r>
          </w:p>
        </w:tc>
        <w:tc>
          <w:tcPr>
            <w:tcW w:type="dxa" w:w="1694"/>
          </w:tcPr>
          <w:p>
            <w:r>
              <w:t>[[DAY]]</w:t>
            </w:r>
          </w:p>
        </w:tc>
        <w:tc>
          <w:tcPr>
            <w:tcW w:type="dxa" w:w="1694"/>
          </w:tcPr>
          <w:p>
            <w:r>
              <w:t>[[TIME]]</w:t>
            </w:r>
          </w:p>
        </w:tc>
        <w:tc>
          <w:tcPr>
            <w:tcW w:type="dxa" w:w="1694"/>
          </w:tcPr>
          <w:p>
            <w:r>
              <w:t>[[SITE]]</w:t>
            </w:r>
          </w:p>
        </w:tc>
        <w:tc>
          <w:tcPr>
            <w:tcW w:type="dxa" w:w="1694"/>
          </w:tcPr>
          <w:p>
            <w:r>
              <w:t>Participants / families</w:t>
            </w:r>
          </w:p>
        </w:tc>
      </w:tr>
    </w:tbl>
    <w:p>
      <w:pPr>
        <w:pStyle w:val="Heading1"/>
      </w:pPr>
      <w:r>
        <w:t>2. Regularity Standard</w:t>
      </w:r>
    </w:p>
    <w:p>
      <w:pPr>
        <w:pStyle w:val="ListBullet"/>
      </w:pPr>
      <w:r>
        <w:t>The primary service should occur according to the published recurring schedule except for documented exceptions.</w:t>
      </w:r>
    </w:p>
    <w:p>
      <w:pPr>
        <w:pStyle w:val="ListBullet"/>
      </w:pPr>
      <w:r>
        <w:t>Each service conducted receives a Service Record and attendance record.</w:t>
      </w:r>
    </w:p>
    <w:p>
      <w:pPr>
        <w:pStyle w:val="ListBullet"/>
      </w:pPr>
      <w:r>
        <w:t>A service moved for weather, facility loss, holiday, emergency, or other legitimate reason should be documented as relocated/rescheduled rather than erased from the record.</w:t>
      </w:r>
    </w:p>
    <w:p>
      <w:pPr>
        <w:pStyle w:val="ListBullet"/>
      </w:pPr>
      <w:r>
        <w:t>Temporary online-only services should be documented as such and not represented as physical attendance.</w:t>
      </w:r>
    </w:p>
    <w:p>
      <w:pPr>
        <w:pStyle w:val="ListBullet"/>
      </w:pPr>
      <w:r>
        <w:t>Changes to the standing schedule should receive an effective date and communication record.</w:t>
      </w:r>
    </w:p>
    <w:p>
      <w:pPr>
        <w:pStyle w:val="Heading1"/>
      </w:pPr>
      <w:r>
        <w:t>3. Service Calendar Control</w:t>
      </w:r>
    </w:p>
    <w:p>
      <w:r>
        <w:t>At least quarterly, publish or approve the upcoming service calendar identifying ordinary services, special observances, known exceptions, and facility changes. This prevents the claimed regular schedule from existing only on paper.</w:t>
      </w:r>
    </w:p>
    <w:p>
      <w:pPr>
        <w:pStyle w:val="Heading1"/>
      </w:pPr>
      <w:r>
        <w:t>4. Public Communication</w:t>
      </w:r>
    </w:p>
    <w:p>
      <w:pPr>
        <w:pStyle w:val="ListBullet"/>
      </w:pPr>
      <w:r>
        <w:t>Website or public notice should state current regular service day, time, and location.</w:t>
      </w:r>
    </w:p>
    <w:p>
      <w:pPr>
        <w:pStyle w:val="ListBullet"/>
      </w:pPr>
      <w:r>
        <w:t>If attendance requires advance permission or if a service is private, say so accurately.</w:t>
      </w:r>
    </w:p>
    <w:p>
      <w:pPr>
        <w:pStyle w:val="ListBullet"/>
      </w:pPr>
      <w:r>
        <w:t>Accessibility, parking, child/youth arrangements, and remote participation instructions should be stated when applicable.</w:t>
      </w:r>
    </w:p>
    <w:p>
      <w:pPr>
        <w:pStyle w:val="Heading1"/>
      </w:pPr>
      <w:r>
        <w:t>5. Initial Adoption Gate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Required fact</w:t>
            </w:r>
          </w:p>
        </w:tc>
        <w:tc>
          <w:tcPr>
            <w:tcW w:type="dxa" w:w="5083"/>
            <w:shd w:fill="1F4E79"/>
            <w:vAlign w:val="center"/>
          </w:tcPr>
          <w:p>
            <w:r>
              <w:rPr>
                <w:b/>
                <w:color w:val="FFFFFF"/>
              </w:rPr>
              <w:t>Status</w:t>
            </w:r>
          </w:p>
        </w:tc>
      </w:tr>
      <w:tr>
        <w:trPr>
          <w:cantSplit w:val="true"/>
        </w:trPr>
        <w:tc>
          <w:tcPr>
            <w:tcW w:type="dxa" w:w="5083"/>
          </w:tcPr>
          <w:p>
            <w:r>
              <w:t>Primary weekly day</w:t>
            </w:r>
          </w:p>
        </w:tc>
        <w:tc>
          <w:tcPr>
            <w:tcW w:type="dxa" w:w="5083"/>
          </w:tcPr>
          <w:p>
            <w:r>
              <w:t>[[TO BE SET]]</w:t>
            </w:r>
          </w:p>
        </w:tc>
      </w:tr>
      <w:tr>
        <w:trPr>
          <w:cantSplit w:val="true"/>
        </w:trPr>
        <w:tc>
          <w:tcPr>
            <w:tcW w:type="dxa" w:w="5083"/>
          </w:tcPr>
          <w:p>
            <w:r>
              <w:t>Primary start/end time</w:t>
            </w:r>
          </w:p>
        </w:tc>
        <w:tc>
          <w:tcPr>
            <w:tcW w:type="dxa" w:w="5083"/>
          </w:tcPr>
          <w:p>
            <w:r>
              <w:t>[[TO BE SET]]</w:t>
            </w:r>
          </w:p>
        </w:tc>
      </w:tr>
      <w:tr>
        <w:trPr>
          <w:cantSplit w:val="true"/>
        </w:trPr>
        <w:tc>
          <w:tcPr>
            <w:tcW w:type="dxa" w:w="5083"/>
          </w:tcPr>
          <w:p>
            <w:r>
              <w:t>Established location</w:t>
            </w:r>
          </w:p>
        </w:tc>
        <w:tc>
          <w:tcPr>
            <w:tcW w:type="dxa" w:w="5083"/>
          </w:tcPr>
          <w:p>
            <w:r>
              <w:t>[[TO BE SET / CH-023]]</w:t>
            </w:r>
          </w:p>
        </w:tc>
      </w:tr>
      <w:tr>
        <w:trPr>
          <w:cantSplit w:val="true"/>
        </w:trPr>
        <w:tc>
          <w:tcPr>
            <w:tcW w:type="dxa" w:w="5083"/>
          </w:tcPr>
          <w:p>
            <w:r>
              <w:t>First regular-service date</w:t>
            </w:r>
          </w:p>
        </w:tc>
        <w:tc>
          <w:tcPr>
            <w:tcW w:type="dxa" w:w="5083"/>
          </w:tcPr>
          <w:p>
            <w:r>
              <w:t>[[TO BE SET]]</w:t>
            </w:r>
          </w:p>
        </w:tc>
      </w:tr>
      <w:tr>
        <w:trPr>
          <w:cantSplit w:val="true"/>
        </w:trPr>
        <w:tc>
          <w:tcPr>
            <w:tcW w:type="dxa" w:w="5083"/>
          </w:tcPr>
          <w:p>
            <w:r>
              <w:t>Presiding ministry assignment</w:t>
            </w:r>
          </w:p>
        </w:tc>
        <w:tc>
          <w:tcPr>
            <w:tcW w:type="dxa" w:w="5083"/>
          </w:tcPr>
          <w:p>
            <w:r>
              <w:t>[[TO BE SET]]</w:t>
            </w:r>
          </w:p>
        </w:tc>
      </w:tr>
      <w:tr>
        <w:trPr>
          <w:cantSplit w:val="true"/>
        </w:trPr>
        <w:tc>
          <w:tcPr>
            <w:tcW w:type="dxa" w:w="5083"/>
          </w:tcPr>
          <w:p>
            <w:r>
              <w:t>Publication channel</w:t>
            </w:r>
          </w:p>
        </w:tc>
        <w:tc>
          <w:tcPr>
            <w:tcW w:type="dxa" w:w="5083"/>
          </w:tcPr>
          <w:p>
            <w:r>
              <w:t>[[WEBSITE / BULLETIN / OTHER]]</w:t>
            </w:r>
          </w:p>
        </w:tc>
      </w:tr>
    </w:tbl>
    <w:p>
      <w:pPr>
        <w:pStyle w:val="Heading2"/>
      </w:pPr>
      <w:r>
        <w:t>Current IRS Reference</w:t>
      </w:r>
    </w:p>
    <w:p>
      <w:r>
        <w:t>Current Form 1023 instructions describe church classification as a facts-and-circumstances inquiry and ask specifically about regularly scheduled services, average attendance, established worship locations, established congregations, member counts, membership processes, member rights, and related practices. The organization should answer any future IRS application from contemporaneous records rather than reconstructing facts after the event.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Source</w:t>
            </w:r>
          </w:p>
        </w:tc>
        <w:tc>
          <w:tcPr>
            <w:tcW w:type="dxa" w:w="5083"/>
            <w:shd w:fill="1F4E79"/>
            <w:vAlign w:val="center"/>
          </w:tcPr>
          <w:p>
            <w:r>
              <w:rPr>
                <w:b/>
                <w:color w:val="FFFFFF"/>
              </w:rPr>
              <w:t>URL</w:t>
            </w:r>
          </w:p>
        </w:tc>
      </w:tr>
      <w:tr>
        <w:trPr>
          <w:cantSplit w:val="true"/>
        </w:trPr>
        <w:tc>
          <w:tcPr>
            <w:tcW w:type="dxa" w:w="5083"/>
          </w:tcPr>
          <w:p>
            <w:r>
              <w:t>IRS - Instructions for Form 1023</w:t>
            </w:r>
          </w:p>
        </w:tc>
        <w:tc>
          <w:tcPr>
            <w:tcW w:type="dxa" w:w="5083"/>
          </w:tcPr>
          <w:p>
            <w:r>
              <w:t>https://www.irs.gov/instructions/i1023</w:t>
            </w:r>
          </w:p>
        </w:tc>
      </w:tr>
      <w:tr>
        <w:trPr>
          <w:cantSplit w:val="true"/>
        </w:trPr>
        <w:tc>
          <w:tcPr>
            <w:tcW w:type="dxa" w:w="5083"/>
          </w:tcPr>
          <w:p>
            <w:r>
              <w:t>IRS - Form 1023</w:t>
            </w:r>
          </w:p>
        </w:tc>
        <w:tc>
          <w:tcPr>
            <w:tcW w:type="dxa" w:w="5083"/>
          </w:tcPr>
          <w:p>
            <w:r>
              <w:t>https://www.irs.gov/pub/irs-pdf/f1023.pdf</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CH-018 | Regular Worship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