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Sermon and Teaching Archive Standard</w:t>
      </w:r>
    </w:p>
    <w:p>
      <w:pPr>
        <w:jc w:val="center"/>
      </w:pPr>
      <w:r>
        <w:rPr>
          <w:i/>
          <w:color w:val="5B6573"/>
          <w:sz w:val="23"/>
        </w:rPr>
        <w:t>Metadata, doctrinal-status labeling, and preservation of religious teaching</w:t>
      </w:r>
    </w:p>
    <w:tbl>
      <w:tblPr>
        <w:tblStyle w:val="TableGrid"/>
        <w:tblW w:type="auto" w:w="0"/>
        <w:jc w:val="center"/>
        <w:tblLook w:firstColumn="1" w:firstRow="1" w:lastColumn="0" w:lastRow="0" w:noHBand="0" w:noVBand="1" w:val="04A0"/>
      </w:tblPr>
      <w:tblGrid>
        <w:gridCol w:w="5083"/>
        <w:gridCol w:w="5083"/>
      </w:tblGrid>
      <w:tr>
        <w:trPr>
          <w:cantSplit w:val="true"/>
        </w:trPr>
        <w:tc>
          <w:tcPr>
            <w:tcW w:type="dxa" w:w="5083"/>
            <w:shd w:fill="D9EAF7"/>
          </w:tcPr>
          <w:p>
            <w:r>
              <w:rPr>
                <w:b/>
              </w:rPr>
              <w:t>Document ID</w:t>
            </w:r>
          </w:p>
        </w:tc>
        <w:tc>
          <w:tcPr>
            <w:tcW w:type="dxa" w:w="5083"/>
          </w:tcPr>
          <w:p>
            <w:r>
              <w:t>CH-020</w:t>
            </w:r>
          </w:p>
        </w:tc>
      </w:tr>
      <w:tr>
        <w:trPr>
          <w:cantSplit w:val="true"/>
        </w:trPr>
        <w:tc>
          <w:tcPr>
            <w:tcW w:type="dxa" w:w="5083"/>
            <w:shd w:fill="D9EAF7"/>
          </w:tcPr>
          <w:p>
            <w:r>
              <w:rPr>
                <w:b/>
              </w:rPr>
              <w:t>Version</w:t>
            </w:r>
          </w:p>
        </w:tc>
        <w:tc>
          <w:tcPr>
            <w:tcW w:type="dxa" w:w="5083"/>
          </w:tcPr>
          <w:p>
            <w:r>
              <w:t>0.1.0</w:t>
            </w:r>
          </w:p>
        </w:tc>
      </w:tr>
      <w:tr>
        <w:trPr>
          <w:cantSplit w:val="true"/>
        </w:trPr>
        <w:tc>
          <w:tcPr>
            <w:tcW w:type="dxa" w:w="5083"/>
            <w:shd w:fill="D9EAF7"/>
          </w:tcPr>
          <w:p>
            <w:r>
              <w:rPr>
                <w:b/>
              </w:rPr>
              <w:t>Status</w:t>
            </w:r>
          </w:p>
        </w:tc>
        <w:tc>
          <w:tcPr>
            <w:tcW w:type="dxa" w:w="5083"/>
          </w:tcPr>
          <w:p>
            <w:r>
              <w:t>Provisional Operational Draft</w:t>
            </w:r>
          </w:p>
        </w:tc>
      </w:tr>
      <w:tr>
        <w:trPr>
          <w:cantSplit w:val="true"/>
        </w:trPr>
        <w:tc>
          <w:tcPr>
            <w:tcW w:type="dxa" w:w="5083"/>
            <w:shd w:fill="D9EAF7"/>
          </w:tcPr>
          <w:p>
            <w:r>
              <w:rPr>
                <w:b/>
              </w:rPr>
              <w:t>Classification</w:t>
            </w:r>
          </w:p>
        </w:tc>
        <w:tc>
          <w:tcPr>
            <w:tcW w:type="dxa" w:w="5083"/>
          </w:tcPr>
          <w:p>
            <w:r>
              <w:t>Religious Literature Records Standard</w:t>
            </w:r>
          </w:p>
        </w:tc>
      </w:tr>
      <w:tr>
        <w:trPr>
          <w:cantSplit w:val="true"/>
        </w:trPr>
        <w:tc>
          <w:tcPr>
            <w:tcW w:type="dxa" w:w="5083"/>
            <w:shd w:fill="D9EAF7"/>
          </w:tcPr>
          <w:p>
            <w:r>
              <w:rPr>
                <w:b/>
              </w:rPr>
              <w:t>Organization</w:t>
            </w:r>
          </w:p>
        </w:tc>
        <w:tc>
          <w:tcPr>
            <w:tcW w:type="dxa" w:w="5083"/>
          </w:tcPr>
          <w:p>
            <w:r>
              <w:t>[[CORP_NAME]]</w:t>
            </w:r>
          </w:p>
        </w:tc>
      </w:tr>
      <w:tr>
        <w:trPr>
          <w:cantSplit w:val="true"/>
        </w:trPr>
        <w:tc>
          <w:tcPr>
            <w:tcW w:type="dxa" w:w="5083"/>
            <w:shd w:fill="D9EAF7"/>
          </w:tcPr>
          <w:p>
            <w:r>
              <w:rPr>
                <w:b/>
              </w:rPr>
              <w:t>Adoption Date</w:t>
            </w:r>
          </w:p>
        </w:tc>
        <w:tc>
          <w:tcPr>
            <w:tcW w:type="dxa" w:w="5083"/>
          </w:tcPr>
          <w:p>
            <w:r>
              <w:t>[[DATE]]</w:t>
            </w:r>
          </w:p>
        </w:tc>
      </w:tr>
    </w:tbl>
    <w:p/>
    <w:p>
      <w:pPr>
        <w:pStyle w:val="SmallNote"/>
      </w:pPr>
      <w:r>
        <w:rPr>
          <w:b/>
        </w:rPr>
        <w:t xml:space="preserve">Control note: </w:t>
      </w:r>
      <w:r>
        <w:t>Bracketed fields require verification before adoption or use. This instrument implements, but does not amend, superior governing instruments.</w:t>
      </w:r>
    </w:p>
    <w:p>
      <w:r>
        <w:br w:type="page"/>
      </w:r>
    </w:p>
    <w:p>
      <w:pPr>
        <w:pStyle w:val="Heading1"/>
      </w:pPr>
      <w:r>
        <w:t>Purpose</w:t>
      </w:r>
    </w:p>
    <w:p>
      <w:r>
        <w:t>The Teaching Archive preserves sermons, homilies, lectures, studies, testimonies, commentaries, and other religious teaching while preventing an ordinary talk from becoming binding doctrine merely because a senior leader delivered it.</w:t>
      </w:r>
    </w:p>
    <w:p>
      <w:pPr>
        <w:pStyle w:val="Heading1"/>
      </w:pPr>
      <w:r>
        <w:t>1. Teaching Classes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Class</w:t>
            </w:r>
          </w:p>
        </w:tc>
        <w:tc>
          <w:tcPr>
            <w:tcW w:type="dxa" w:w="3389"/>
            <w:shd w:fill="1F4E79"/>
            <w:vAlign w:val="center"/>
          </w:tcPr>
          <w:p>
            <w:r>
              <w:rPr>
                <w:b/>
                <w:color w:val="FFFFFF"/>
              </w:rPr>
              <w:t>Examples</w:t>
            </w:r>
          </w:p>
        </w:tc>
        <w:tc>
          <w:tcPr>
            <w:tcW w:type="dxa" w:w="3389"/>
            <w:shd w:fill="1F4E79"/>
            <w:vAlign w:val="center"/>
          </w:tcPr>
          <w:p>
            <w:r>
              <w:rPr>
                <w:b/>
                <w:color w:val="FFFFFF"/>
              </w:rPr>
              <w:t>Authority</w:t>
            </w:r>
          </w:p>
        </w:tc>
      </w:tr>
      <w:tr>
        <w:trPr>
          <w:cantSplit w:val="true"/>
        </w:trPr>
        <w:tc>
          <w:tcPr>
            <w:tcW w:type="dxa" w:w="3389"/>
          </w:tcPr>
          <w:p>
            <w:r>
              <w:t>Formal doctrine teaching</w:t>
            </w:r>
          </w:p>
        </w:tc>
        <w:tc>
          <w:tcPr>
            <w:tcW w:type="dxa" w:w="3389"/>
          </w:tcPr>
          <w:p>
            <w:r>
              <w:t>Teaching an adopted doctrinal proposition</w:t>
            </w:r>
          </w:p>
        </w:tc>
        <w:tc>
          <w:tcPr>
            <w:tcW w:type="dxa" w:w="3389"/>
          </w:tcPr>
          <w:p>
            <w:r>
              <w:t>Subordinate explanation of adopted doctrine</w:t>
            </w:r>
          </w:p>
        </w:tc>
      </w:tr>
      <w:tr>
        <w:trPr>
          <w:cantSplit w:val="true"/>
        </w:trPr>
        <w:tc>
          <w:tcPr>
            <w:tcW w:type="dxa" w:w="3389"/>
          </w:tcPr>
          <w:p>
            <w:r>
              <w:t>Authoritative interpretation</w:t>
            </w:r>
          </w:p>
        </w:tc>
        <w:tc>
          <w:tcPr>
            <w:tcW w:type="dxa" w:w="3389"/>
          </w:tcPr>
          <w:p>
            <w:r>
              <w:t>Interpretation validly adopted through governing process</w:t>
            </w:r>
          </w:p>
        </w:tc>
        <w:tc>
          <w:tcPr>
            <w:tcW w:type="dxa" w:w="3389"/>
          </w:tcPr>
          <w:p>
            <w:r>
              <w:t>Binding to the extent governing corpus provides</w:t>
            </w:r>
          </w:p>
        </w:tc>
      </w:tr>
      <w:tr>
        <w:trPr>
          <w:cantSplit w:val="true"/>
        </w:trPr>
        <w:tc>
          <w:tcPr>
            <w:tcW w:type="dxa" w:w="3389"/>
          </w:tcPr>
          <w:p>
            <w:r>
              <w:t>Pastoral teaching</w:t>
            </w:r>
          </w:p>
        </w:tc>
        <w:tc>
          <w:tcPr>
            <w:tcW w:type="dxa" w:w="3389"/>
          </w:tcPr>
          <w:p>
            <w:r>
              <w:t>Homily, sermon, practical guidance</w:t>
            </w:r>
          </w:p>
        </w:tc>
        <w:tc>
          <w:tcPr>
            <w:tcW w:type="dxa" w:w="3389"/>
          </w:tcPr>
          <w:p>
            <w:r>
              <w:t>Nonbinding unless expressly grounded in adopted authority</w:t>
            </w:r>
          </w:p>
        </w:tc>
      </w:tr>
      <w:tr>
        <w:trPr>
          <w:cantSplit w:val="true"/>
        </w:trPr>
        <w:tc>
          <w:tcPr>
            <w:tcW w:type="dxa" w:w="3389"/>
          </w:tcPr>
          <w:p>
            <w:r>
              <w:t>Scholarly / historical lecture</w:t>
            </w:r>
          </w:p>
        </w:tc>
        <w:tc>
          <w:tcPr>
            <w:tcW w:type="dxa" w:w="3389"/>
          </w:tcPr>
          <w:p>
            <w:r>
              <w:t>Research or source analysis</w:t>
            </w:r>
          </w:p>
        </w:tc>
        <w:tc>
          <w:tcPr>
            <w:tcW w:type="dxa" w:w="3389"/>
          </w:tcPr>
          <w:p>
            <w:r>
              <w:t>Nonbinding scholarly work</w:t>
            </w:r>
          </w:p>
        </w:tc>
      </w:tr>
      <w:tr>
        <w:trPr>
          <w:cantSplit w:val="true"/>
        </w:trPr>
        <w:tc>
          <w:tcPr>
            <w:tcW w:type="dxa" w:w="3389"/>
          </w:tcPr>
          <w:p>
            <w:r>
              <w:t>Personal testimony</w:t>
            </w:r>
          </w:p>
        </w:tc>
        <w:tc>
          <w:tcPr>
            <w:tcW w:type="dxa" w:w="3389"/>
          </w:tcPr>
          <w:p>
            <w:r>
              <w:t>Reported experience or reflection</w:t>
            </w:r>
          </w:p>
        </w:tc>
        <w:tc>
          <w:tcPr>
            <w:tcW w:type="dxa" w:w="3389"/>
          </w:tcPr>
          <w:p>
            <w:r>
              <w:t>Evidence of the speaker's testimony; not automatic doctrine</w:t>
            </w:r>
          </w:p>
        </w:tc>
      </w:tr>
      <w:tr>
        <w:trPr>
          <w:cantSplit w:val="true"/>
        </w:trPr>
        <w:tc>
          <w:tcPr>
            <w:tcW w:type="dxa" w:w="3389"/>
          </w:tcPr>
          <w:p>
            <w:r>
              <w:t>Exploratory theology</w:t>
            </w:r>
          </w:p>
        </w:tc>
        <w:tc>
          <w:tcPr>
            <w:tcW w:type="dxa" w:w="3389"/>
          </w:tcPr>
          <w:p>
            <w:r>
              <w:t>Hypothesis, comparison, unresolved question</w:t>
            </w:r>
          </w:p>
        </w:tc>
        <w:tc>
          <w:tcPr>
            <w:tcW w:type="dxa" w:w="3389"/>
          </w:tcPr>
          <w:p>
            <w:r>
              <w:t>Explicitly nonbinding</w:t>
            </w:r>
          </w:p>
        </w:tc>
      </w:tr>
    </w:tbl>
    <w:p>
      <w:pPr>
        <w:pStyle w:val="Heading1"/>
      </w:pPr>
      <w:r>
        <w:t>2. Archive Metadata</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Required?</w:t>
            </w:r>
          </w:p>
        </w:tc>
      </w:tr>
      <w:tr>
        <w:trPr>
          <w:cantSplit w:val="true"/>
        </w:trPr>
        <w:tc>
          <w:tcPr>
            <w:tcW w:type="dxa" w:w="5083"/>
          </w:tcPr>
          <w:p>
            <w:r>
              <w:t>Teaching ID</w:t>
            </w:r>
          </w:p>
        </w:tc>
        <w:tc>
          <w:tcPr>
            <w:tcW w:type="dxa" w:w="5083"/>
          </w:tcPr>
          <w:p>
            <w:r>
              <w:t>Yes - TA-YYYY-NNN</w:t>
            </w:r>
          </w:p>
        </w:tc>
      </w:tr>
      <w:tr>
        <w:trPr>
          <w:cantSplit w:val="true"/>
        </w:trPr>
        <w:tc>
          <w:tcPr>
            <w:tcW w:type="dxa" w:w="5083"/>
          </w:tcPr>
          <w:p>
            <w:r>
              <w:t>Date / service ID</w:t>
            </w:r>
          </w:p>
        </w:tc>
        <w:tc>
          <w:tcPr>
            <w:tcW w:type="dxa" w:w="5083"/>
          </w:tcPr>
          <w:p>
            <w:r>
              <w:t>Yes</w:t>
            </w:r>
          </w:p>
        </w:tc>
      </w:tr>
      <w:tr>
        <w:trPr>
          <w:cantSplit w:val="true"/>
        </w:trPr>
        <w:tc>
          <w:tcPr>
            <w:tcW w:type="dxa" w:w="5083"/>
          </w:tcPr>
          <w:p>
            <w:r>
              <w:t>Title</w:t>
            </w:r>
          </w:p>
        </w:tc>
        <w:tc>
          <w:tcPr>
            <w:tcW w:type="dxa" w:w="5083"/>
          </w:tcPr>
          <w:p>
            <w:r>
              <w:t>Yes</w:t>
            </w:r>
          </w:p>
        </w:tc>
      </w:tr>
      <w:tr>
        <w:trPr>
          <w:cantSplit w:val="true"/>
        </w:trPr>
        <w:tc>
          <w:tcPr>
            <w:tcW w:type="dxa" w:w="5083"/>
          </w:tcPr>
          <w:p>
            <w:r>
              <w:t>Teacher / speaker</w:t>
            </w:r>
          </w:p>
        </w:tc>
        <w:tc>
          <w:tcPr>
            <w:tcW w:type="dxa" w:w="5083"/>
          </w:tcPr>
          <w:p>
            <w:r>
              <w:t>Yes</w:t>
            </w:r>
          </w:p>
        </w:tc>
      </w:tr>
      <w:tr>
        <w:trPr>
          <w:cantSplit w:val="true"/>
        </w:trPr>
        <w:tc>
          <w:tcPr>
            <w:tcW w:type="dxa" w:w="5083"/>
          </w:tcPr>
          <w:p>
            <w:r>
              <w:t>Teaching class</w:t>
            </w:r>
          </w:p>
        </w:tc>
        <w:tc>
          <w:tcPr>
            <w:tcW w:type="dxa" w:w="5083"/>
          </w:tcPr>
          <w:p>
            <w:r>
              <w:t>Yes</w:t>
            </w:r>
          </w:p>
        </w:tc>
      </w:tr>
      <w:tr>
        <w:trPr>
          <w:cantSplit w:val="true"/>
        </w:trPr>
        <w:tc>
          <w:tcPr>
            <w:tcW w:type="dxa" w:w="5083"/>
          </w:tcPr>
          <w:p>
            <w:r>
              <w:t>Doctrinal status</w:t>
            </w:r>
          </w:p>
        </w:tc>
        <w:tc>
          <w:tcPr>
            <w:tcW w:type="dxa" w:w="5083"/>
          </w:tcPr>
          <w:p>
            <w:r>
              <w:t>Yes</w:t>
            </w:r>
          </w:p>
        </w:tc>
      </w:tr>
      <w:tr>
        <w:trPr>
          <w:cantSplit w:val="true"/>
        </w:trPr>
        <w:tc>
          <w:tcPr>
            <w:tcW w:type="dxa" w:w="5083"/>
          </w:tcPr>
          <w:p>
            <w:r>
              <w:t>Sources / readings</w:t>
            </w:r>
          </w:p>
        </w:tc>
        <w:tc>
          <w:tcPr>
            <w:tcW w:type="dxa" w:w="5083"/>
          </w:tcPr>
          <w:p>
            <w:r>
              <w:t>When applicable</w:t>
            </w:r>
          </w:p>
        </w:tc>
      </w:tr>
      <w:tr>
        <w:trPr>
          <w:cantSplit w:val="true"/>
        </w:trPr>
        <w:tc>
          <w:tcPr>
            <w:tcW w:type="dxa" w:w="5083"/>
          </w:tcPr>
          <w:p>
            <w:r>
              <w:t>Summary / abstract</w:t>
            </w:r>
          </w:p>
        </w:tc>
        <w:tc>
          <w:tcPr>
            <w:tcW w:type="dxa" w:w="5083"/>
          </w:tcPr>
          <w:p>
            <w:r>
              <w:t>Recommended</w:t>
            </w:r>
          </w:p>
        </w:tc>
      </w:tr>
      <w:tr>
        <w:trPr>
          <w:cantSplit w:val="true"/>
        </w:trPr>
        <w:tc>
          <w:tcPr>
            <w:tcW w:type="dxa" w:w="5083"/>
          </w:tcPr>
          <w:p>
            <w:r>
              <w:t>Text / notes / transcript</w:t>
            </w:r>
          </w:p>
        </w:tc>
        <w:tc>
          <w:tcPr>
            <w:tcW w:type="dxa" w:w="5083"/>
          </w:tcPr>
          <w:p>
            <w:r>
              <w:t>Preserve when available</w:t>
            </w:r>
          </w:p>
        </w:tc>
      </w:tr>
      <w:tr>
        <w:trPr>
          <w:cantSplit w:val="true"/>
        </w:trPr>
        <w:tc>
          <w:tcPr>
            <w:tcW w:type="dxa" w:w="5083"/>
          </w:tcPr>
          <w:p>
            <w:r>
              <w:t>Audio/video reference</w:t>
            </w:r>
          </w:p>
        </w:tc>
        <w:tc>
          <w:tcPr>
            <w:tcW w:type="dxa" w:w="5083"/>
          </w:tcPr>
          <w:p>
            <w:r>
              <w:t>When recorded</w:t>
            </w:r>
          </w:p>
        </w:tc>
      </w:tr>
      <w:tr>
        <w:trPr>
          <w:cantSplit w:val="true"/>
        </w:trPr>
        <w:tc>
          <w:tcPr>
            <w:tcW w:type="dxa" w:w="5083"/>
          </w:tcPr>
          <w:p>
            <w:r>
              <w:t>Publication status</w:t>
            </w:r>
          </w:p>
        </w:tc>
        <w:tc>
          <w:tcPr>
            <w:tcW w:type="dxa" w:w="5083"/>
          </w:tcPr>
          <w:p>
            <w:r>
              <w:t>Internal / public / restricted</w:t>
            </w:r>
          </w:p>
        </w:tc>
      </w:tr>
      <w:tr>
        <w:trPr>
          <w:cantSplit w:val="true"/>
        </w:trPr>
        <w:tc>
          <w:tcPr>
            <w:tcW w:type="dxa" w:w="5083"/>
          </w:tcPr>
          <w:p>
            <w:r>
              <w:t>Corrections / retractions</w:t>
            </w:r>
          </w:p>
        </w:tc>
        <w:tc>
          <w:tcPr>
            <w:tcW w:type="dxa" w:w="5083"/>
          </w:tcPr>
          <w:p>
            <w:r>
              <w:t>When applicable</w:t>
            </w:r>
          </w:p>
        </w:tc>
      </w:tr>
      <w:tr>
        <w:trPr>
          <w:cantSplit w:val="true"/>
        </w:trPr>
        <w:tc>
          <w:tcPr>
            <w:tcW w:type="dxa" w:w="5083"/>
          </w:tcPr>
          <w:p>
            <w:r>
              <w:t>Related doctrine IDs</w:t>
            </w:r>
          </w:p>
        </w:tc>
        <w:tc>
          <w:tcPr>
            <w:tcW w:type="dxa" w:w="5083"/>
          </w:tcPr>
          <w:p>
            <w:r>
              <w:t>When applicable</w:t>
            </w:r>
          </w:p>
        </w:tc>
      </w:tr>
    </w:tbl>
    <w:p>
      <w:pPr>
        <w:pStyle w:val="Heading1"/>
      </w:pPr>
      <w:r>
        <w:t>3. Doctrinal Status Labels</w:t>
      </w:r>
    </w:p>
    <w:p>
      <w:pPr>
        <w:pStyle w:val="ListBullet"/>
      </w:pPr>
      <w:r>
        <w:t>FORMAL DOCTRINE - only if the proposition has actually been adopted through the required process.</w:t>
      </w:r>
    </w:p>
    <w:p>
      <w:pPr>
        <w:pStyle w:val="ListBullet"/>
      </w:pPr>
      <w:r>
        <w:t>AUTHORITATIVE INTERPRETATION - only if validly issued as such.</w:t>
      </w:r>
    </w:p>
    <w:p>
      <w:pPr>
        <w:pStyle w:val="ListBullet"/>
      </w:pPr>
      <w:r>
        <w:t>PASTORAL / EDUCATIONAL TEACHING - useful teaching but not binding doctrine by itself.</w:t>
      </w:r>
    </w:p>
    <w:p>
      <w:pPr>
        <w:pStyle w:val="ListBullet"/>
      </w:pPr>
      <w:r>
        <w:t>SCHOLARLY / HISTORICAL ANALYSIS - research subject to correction.</w:t>
      </w:r>
    </w:p>
    <w:p>
      <w:pPr>
        <w:pStyle w:val="ListBullet"/>
      </w:pPr>
      <w:r>
        <w:t>PERSONAL TESTIMONY - report of individual experience.</w:t>
      </w:r>
    </w:p>
    <w:p>
      <w:pPr>
        <w:pStyle w:val="ListBullet"/>
      </w:pPr>
      <w:r>
        <w:t>EXPLORATORY / PROVISIONAL - unresolved theological inquiry.</w:t>
      </w:r>
    </w:p>
    <w:p>
      <w:pPr>
        <w:pStyle w:val="Heading1"/>
      </w:pPr>
      <w:r>
        <w:t>4. Correction and Retraction</w:t>
      </w:r>
    </w:p>
    <w:p>
      <w:r>
        <w:t>Material factual errors, unsafe guidance, plagiarism, misattributed sources, or superseded teaching should be corrected transparently. The archive should preserve the existence of the earlier version where institutional history or accountability warrants rather than silently rewriting the record.</w:t>
      </w:r>
    </w:p>
    <w:p>
      <w:pPr>
        <w:pStyle w:val="Heading1"/>
      </w:pPr>
      <w:r>
        <w:t>5. Publication and Privacy</w:t>
      </w:r>
    </w:p>
    <w:p>
      <w:pPr>
        <w:pStyle w:val="ListBullet"/>
      </w:pPr>
      <w:r>
        <w:t>Obtain appropriate consent before publishing personal testimonies or sensitive pastoral material.</w:t>
      </w:r>
    </w:p>
    <w:p>
      <w:pPr>
        <w:pStyle w:val="ListBullet"/>
      </w:pPr>
      <w:r>
        <w:t>Do not publish minors or vulnerable persons merely because an event was religious.</w:t>
      </w:r>
    </w:p>
    <w:p>
      <w:pPr>
        <w:pStyle w:val="ListBullet"/>
      </w:pPr>
      <w:r>
        <w:t>Copyright and source attribution remain applicable to teaching materials.</w:t>
      </w:r>
    </w:p>
    <w:p>
      <w:pPr>
        <w:pStyle w:val="ListBullet"/>
      </w:pPr>
      <w:r>
        <w:t>A private internal archive may be more complete than the public media archive.</w:t>
      </w:r>
    </w:p>
    <w:p>
      <w:pPr>
        <w:pStyle w:val="Heading1"/>
      </w:pPr>
      <w:r>
        <w:t>6. Teaching Record Template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Teaching ID</w:t>
            </w:r>
          </w:p>
        </w:tc>
        <w:tc>
          <w:tcPr>
            <w:tcW w:type="dxa" w:w="5083"/>
          </w:tcPr>
          <w:p>
            <w:r>
              <w:t>TA-[[YYYY-NNN]]</w:t>
            </w:r>
          </w:p>
        </w:tc>
      </w:tr>
      <w:tr>
        <w:trPr>
          <w:cantSplit w:val="true"/>
        </w:trPr>
        <w:tc>
          <w:tcPr>
            <w:tcW w:type="dxa" w:w="5083"/>
          </w:tcPr>
          <w:p>
            <w:r>
              <w:t>Title</w:t>
            </w:r>
          </w:p>
        </w:tc>
        <w:tc>
          <w:tcPr>
            <w:tcW w:type="dxa" w:w="5083"/>
          </w:tcPr>
          <w:p>
            <w:r>
              <w:t>[[TITLE]]</w:t>
            </w:r>
          </w:p>
        </w:tc>
      </w:tr>
      <w:tr>
        <w:trPr>
          <w:cantSplit w:val="true"/>
        </w:trPr>
        <w:tc>
          <w:tcPr>
            <w:tcW w:type="dxa" w:w="5083"/>
          </w:tcPr>
          <w:p>
            <w:r>
              <w:t>Teacher</w:t>
            </w:r>
          </w:p>
        </w:tc>
        <w:tc>
          <w:tcPr>
            <w:tcW w:type="dxa" w:w="5083"/>
          </w:tcPr>
          <w:p>
            <w:r>
              <w:t>[[NAME]]</w:t>
            </w:r>
          </w:p>
        </w:tc>
      </w:tr>
      <w:tr>
        <w:trPr>
          <w:cantSplit w:val="true"/>
        </w:trPr>
        <w:tc>
          <w:tcPr>
            <w:tcW w:type="dxa" w:w="5083"/>
          </w:tcPr>
          <w:p>
            <w:r>
              <w:t>Date / Service ID</w:t>
            </w:r>
          </w:p>
        </w:tc>
        <w:tc>
          <w:tcPr>
            <w:tcW w:type="dxa" w:w="5083"/>
          </w:tcPr>
          <w:p>
            <w:r>
              <w:t>[[DATE / SR-ID]]</w:t>
            </w:r>
          </w:p>
        </w:tc>
      </w:tr>
      <w:tr>
        <w:trPr>
          <w:cantSplit w:val="true"/>
        </w:trPr>
        <w:tc>
          <w:tcPr>
            <w:tcW w:type="dxa" w:w="5083"/>
          </w:tcPr>
          <w:p>
            <w:r>
              <w:t>Class</w:t>
            </w:r>
          </w:p>
        </w:tc>
        <w:tc>
          <w:tcPr>
            <w:tcW w:type="dxa" w:w="5083"/>
          </w:tcPr>
          <w:p>
            <w:r>
              <w:t>[[CLASS]]</w:t>
            </w:r>
          </w:p>
        </w:tc>
      </w:tr>
      <w:tr>
        <w:trPr>
          <w:cantSplit w:val="true"/>
        </w:trPr>
        <w:tc>
          <w:tcPr>
            <w:tcW w:type="dxa" w:w="5083"/>
          </w:tcPr>
          <w:p>
            <w:r>
              <w:t>Doctrinal status</w:t>
            </w:r>
          </w:p>
        </w:tc>
        <w:tc>
          <w:tcPr>
            <w:tcW w:type="dxa" w:w="5083"/>
          </w:tcPr>
          <w:p>
            <w:r>
              <w:t>[[LABEL]]</w:t>
            </w:r>
          </w:p>
        </w:tc>
      </w:tr>
      <w:tr>
        <w:trPr>
          <w:cantSplit w:val="true"/>
        </w:trPr>
        <w:tc>
          <w:tcPr>
            <w:tcW w:type="dxa" w:w="5083"/>
          </w:tcPr>
          <w:p>
            <w:r>
              <w:t>Sources</w:t>
            </w:r>
          </w:p>
        </w:tc>
        <w:tc>
          <w:tcPr>
            <w:tcW w:type="dxa" w:w="5083"/>
          </w:tcPr>
          <w:p>
            <w:r>
              <w:t>[[TEXT]]</w:t>
            </w:r>
          </w:p>
        </w:tc>
      </w:tr>
      <w:tr>
        <w:trPr>
          <w:cantSplit w:val="true"/>
        </w:trPr>
        <w:tc>
          <w:tcPr>
            <w:tcW w:type="dxa" w:w="5083"/>
          </w:tcPr>
          <w:p>
            <w:r>
              <w:t>Summary</w:t>
            </w:r>
          </w:p>
        </w:tc>
        <w:tc>
          <w:tcPr>
            <w:tcW w:type="dxa" w:w="5083"/>
          </w:tcPr>
          <w:p>
            <w:r>
              <w:t>[[TEXT]]</w:t>
            </w:r>
          </w:p>
        </w:tc>
      </w:tr>
      <w:tr>
        <w:trPr>
          <w:cantSplit w:val="true"/>
        </w:trPr>
        <w:tc>
          <w:tcPr>
            <w:tcW w:type="dxa" w:w="5083"/>
          </w:tcPr>
          <w:p>
            <w:r>
              <w:t>Files / links</w:t>
            </w:r>
          </w:p>
        </w:tc>
        <w:tc>
          <w:tcPr>
            <w:tcW w:type="dxa" w:w="5083"/>
          </w:tcPr>
          <w:p>
            <w:r>
              <w:t>[[PATH / URL]]</w:t>
            </w:r>
          </w:p>
        </w:tc>
      </w:tr>
      <w:tr>
        <w:trPr>
          <w:cantSplit w:val="true"/>
        </w:trPr>
        <w:tc>
          <w:tcPr>
            <w:tcW w:type="dxa" w:w="5083"/>
          </w:tcPr>
          <w:p>
            <w:r>
              <w:t>Review / correction status</w:t>
            </w:r>
          </w:p>
        </w:tc>
        <w:tc>
          <w:tcPr>
            <w:tcW w:type="dxa" w:w="5083"/>
          </w:tcPr>
          <w:p>
            <w:r>
              <w:t>[[STATUS]]</w:t>
            </w:r>
          </w:p>
        </w:tc>
      </w:tr>
    </w:tbl>
    <w:p>
      <w:r>
        <w:br w:type="page"/>
      </w:r>
    </w:p>
    <w:p>
      <w:pPr>
        <w:pStyle w:val="Heading1"/>
      </w:pPr>
      <w:r>
        <w:t>Adoption and Certification</w:t>
      </w:r>
    </w:p>
    <w:p>
      <w:r>
        <w:t>This instrument becomes effective only upon valid adoption by the competent authority. Operational records created under it must reflect actual events and may not be backdated or fabricated to create an appearance of maturity.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Organization</w:t>
            </w:r>
          </w:p>
        </w:tc>
        <w:tc>
          <w:tcPr>
            <w:tcW w:type="dxa" w:w="5083"/>
          </w:tcPr>
          <w:p>
            <w:r>
              <w:t>[[CORP_NAME]]</w:t>
            </w:r>
          </w:p>
        </w:tc>
      </w:tr>
      <w:tr>
        <w:trPr>
          <w:cantSplit w:val="true"/>
        </w:trPr>
        <w:tc>
          <w:tcPr>
            <w:tcW w:type="dxa" w:w="5083"/>
          </w:tcPr>
          <w:p>
            <w:r>
              <w:t>Date</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[[APPROVAL_RECORD]]</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and remains in effect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35" w:left="1037" w:header="403"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CH-020 | Sermon and Teaching Archive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F4E79"/>
      <w:sz w:val="33"/>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6"/>
    </w:rPr>
  </w:style>
  <w:style w:type="paragraph" w:customStyle="1" w:styleId="Principle">
    <w:name w:val="Principle"/>
    <w:pPr>
      <w:spacing w:before="100" w:after="100"/>
      <w:ind w:left="331" w:right="331"/>
    </w:pPr>
    <w:rPr>
      <w:rFonts w:ascii="Aptos" w:hAnsi="Aptos"/>
      <w:b/>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