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Religious Calendar Framework</w:t>
      </w:r>
    </w:p>
    <w:p>
      <w:pPr>
        <w:jc w:val="center"/>
      </w:pPr>
      <w:r>
        <w:rPr>
          <w:i/>
          <w:color w:val="5B6573"/>
          <w:sz w:val="23"/>
        </w:rPr>
        <w:t>Operational calendar for worship, observance, formation, and communal life</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CH-021</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Religious Calendar Instrument</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Framework organizes recurring religious life without inventing sacred days that the community has not actually adopted. Until a distinct religious calendar is formally established, civil/Gregorian dates may be used for administration while religious observances are identified by their adopted names and meanings.</w:t>
      </w:r>
    </w:p>
    <w:p>
      <w:pPr>
        <w:pStyle w:val="Heading1"/>
      </w:pPr>
      <w:r>
        <w:t>1. Calendar Layers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Layer</w:t>
            </w:r>
          </w:p>
        </w:tc>
        <w:tc>
          <w:tcPr>
            <w:tcW w:type="dxa" w:w="3389"/>
            <w:shd w:fill="1F4E79"/>
            <w:vAlign w:val="center"/>
          </w:tcPr>
          <w:p>
            <w:r>
              <w:rPr>
                <w:b/>
                <w:color w:val="FFFFFF"/>
              </w:rPr>
              <w:t>Examples</w:t>
            </w:r>
          </w:p>
        </w:tc>
        <w:tc>
          <w:tcPr>
            <w:tcW w:type="dxa" w:w="3389"/>
            <w:shd w:fill="1F4E79"/>
            <w:vAlign w:val="center"/>
          </w:tcPr>
          <w:p>
            <w:r>
              <w:rPr>
                <w:b/>
                <w:color w:val="FFFFFF"/>
              </w:rPr>
              <w:t>Authority</w:t>
            </w:r>
          </w:p>
        </w:tc>
      </w:tr>
      <w:tr>
        <w:trPr>
          <w:cantSplit w:val="true"/>
        </w:trPr>
        <w:tc>
          <w:tcPr>
            <w:tcW w:type="dxa" w:w="3389"/>
          </w:tcPr>
          <w:p>
            <w:r>
              <w:t>Weekly cycle</w:t>
            </w:r>
          </w:p>
        </w:tc>
        <w:tc>
          <w:tcPr>
            <w:tcW w:type="dxa" w:w="3389"/>
          </w:tcPr>
          <w:p>
            <w:r>
              <w:t>Primary worship; prayer/contemplation; study</w:t>
            </w:r>
          </w:p>
        </w:tc>
        <w:tc>
          <w:tcPr>
            <w:tcW w:type="dxa" w:w="3389"/>
          </w:tcPr>
          <w:p>
            <w:r>
              <w:t>CH-018 and adopted practice</w:t>
            </w:r>
          </w:p>
        </w:tc>
      </w:tr>
      <w:tr>
        <w:trPr>
          <w:cantSplit w:val="true"/>
        </w:trPr>
        <w:tc>
          <w:tcPr>
            <w:tcW w:type="dxa" w:w="3389"/>
          </w:tcPr>
          <w:p>
            <w:r>
              <w:t>Seasonal / annual observances</w:t>
            </w:r>
          </w:p>
        </w:tc>
        <w:tc>
          <w:tcPr>
            <w:tcW w:type="dxa" w:w="3389"/>
          </w:tcPr>
          <w:p>
            <w:r>
              <w:t>Feasts, fasts, memorials, retreats, pilgrimages</w:t>
            </w:r>
          </w:p>
        </w:tc>
        <w:tc>
          <w:tcPr>
            <w:tcW w:type="dxa" w:w="3389"/>
          </w:tcPr>
          <w:p>
            <w:r>
              <w:t>Must be religiously adopted</w:t>
            </w:r>
          </w:p>
        </w:tc>
      </w:tr>
      <w:tr>
        <w:trPr>
          <w:cantSplit w:val="true"/>
        </w:trPr>
        <w:tc>
          <w:tcPr>
            <w:tcW w:type="dxa" w:w="3389"/>
          </w:tcPr>
          <w:p>
            <w:r>
              <w:t>Formation calendar</w:t>
            </w:r>
          </w:p>
        </w:tc>
        <w:tc>
          <w:tcPr>
            <w:tcW w:type="dxa" w:w="3389"/>
          </w:tcPr>
          <w:p>
            <w:r>
              <w:t>Membership formation, adult/youth instruction, ministerial study</w:t>
            </w:r>
          </w:p>
        </w:tc>
        <w:tc>
          <w:tcPr>
            <w:tcW w:type="dxa" w:w="3389"/>
          </w:tcPr>
          <w:p>
            <w:r>
              <w:t>Program instruments</w:t>
            </w:r>
          </w:p>
        </w:tc>
      </w:tr>
      <w:tr>
        <w:trPr>
          <w:cantSplit w:val="true"/>
        </w:trPr>
        <w:tc>
          <w:tcPr>
            <w:tcW w:type="dxa" w:w="3389"/>
          </w:tcPr>
          <w:p>
            <w:r>
              <w:t>Community service</w:t>
            </w:r>
          </w:p>
        </w:tc>
        <w:tc>
          <w:tcPr>
            <w:tcW w:type="dxa" w:w="3389"/>
          </w:tcPr>
          <w:p>
            <w:r>
              <w:t>Benevolence, service, mutual aid</w:t>
            </w:r>
          </w:p>
        </w:tc>
        <w:tc>
          <w:tcPr>
            <w:tcW w:type="dxa" w:w="3389"/>
          </w:tcPr>
          <w:p>
            <w:r>
              <w:t>Operational planning</w:t>
            </w:r>
          </w:p>
        </w:tc>
      </w:tr>
      <w:tr>
        <w:trPr>
          <w:cantSplit w:val="true"/>
        </w:trPr>
        <w:tc>
          <w:tcPr>
            <w:tcW w:type="dxa" w:w="3389"/>
          </w:tcPr>
          <w:p>
            <w:r>
              <w:t>Governance calendar</w:t>
            </w:r>
          </w:p>
        </w:tc>
        <w:tc>
          <w:tcPr>
            <w:tcW w:type="dxa" w:w="3389"/>
          </w:tcPr>
          <w:p>
            <w:r>
              <w:t>CMA, EC, board, evidence audits</w:t>
            </w:r>
          </w:p>
        </w:tc>
        <w:tc>
          <w:tcPr>
            <w:tcW w:type="dxa" w:w="3389"/>
          </w:tcPr>
          <w:p>
            <w:r>
              <w:t>Governance instruments; not sacred merely by scheduling</w:t>
            </w:r>
          </w:p>
        </w:tc>
      </w:tr>
      <w:tr>
        <w:trPr>
          <w:cantSplit w:val="true"/>
        </w:trPr>
        <w:tc>
          <w:tcPr>
            <w:tcW w:type="dxa" w:w="3389"/>
          </w:tcPr>
          <w:p>
            <w:r>
              <w:t>Historical remembrance</w:t>
            </w:r>
          </w:p>
        </w:tc>
        <w:tc>
          <w:tcPr>
            <w:tcW w:type="dxa" w:w="3389"/>
          </w:tcPr>
          <w:p>
            <w:r>
              <w:t>Founding events or major institutional milestones</w:t>
            </w:r>
          </w:p>
        </w:tc>
        <w:tc>
          <w:tcPr>
            <w:tcW w:type="dxa" w:w="3389"/>
          </w:tcPr>
          <w:p>
            <w:r>
              <w:t>May be observed without mythologizing history</w:t>
            </w:r>
          </w:p>
        </w:tc>
      </w:tr>
    </w:tbl>
    <w:p>
      <w:pPr>
        <w:pStyle w:val="Heading1"/>
      </w:pPr>
      <w:r>
        <w:t>2. Sacred Status</w:t>
      </w:r>
    </w:p>
    <w:p>
      <w:r>
        <w:t>An administrative calendar entry does not by itself make a date sacred, obligatory, divinely commanded, or doctrinally significant. Sacred or obligatory status requires appropriate religious authority and clear teaching.</w:t>
      </w:r>
    </w:p>
    <w:p>
      <w:pPr>
        <w:pStyle w:val="Heading1"/>
      </w:pPr>
      <w:r>
        <w:t>3. Initial Twelve-Month Calendar Template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F4E79"/>
            <w:vAlign w:val="center"/>
          </w:tcPr>
          <w:p>
            <w:r>
              <w:rPr>
                <w:b/>
                <w:color w:val="FFFFFF"/>
              </w:rPr>
              <w:t>Category</w:t>
            </w:r>
          </w:p>
        </w:tc>
        <w:tc>
          <w:tcPr>
            <w:tcW w:type="dxa" w:w="2541"/>
            <w:shd w:fill="1F4E79"/>
            <w:vAlign w:val="center"/>
          </w:tcPr>
          <w:p>
            <w:r>
              <w:rPr>
                <w:b/>
                <w:color w:val="FFFFFF"/>
              </w:rPr>
              <w:t>Recurrence / Date</w:t>
            </w:r>
          </w:p>
        </w:tc>
        <w:tc>
          <w:tcPr>
            <w:tcW w:type="dxa" w:w="2541"/>
            <w:shd w:fill="1F4E79"/>
            <w:vAlign w:val="center"/>
          </w:tcPr>
          <w:p>
            <w:r>
              <w:rPr>
                <w:b/>
                <w:color w:val="FFFFFF"/>
              </w:rPr>
              <w:t>Observance</w:t>
            </w:r>
          </w:p>
        </w:tc>
        <w:tc>
          <w:tcPr>
            <w:tcW w:type="dxa" w:w="2541"/>
            <w:shd w:fill="1F4E79"/>
            <w:vAlign w:val="center"/>
          </w:tcPr>
          <w:p>
            <w:r>
              <w:rPr>
                <w:b/>
                <w:color w:val="FFFFFF"/>
              </w:rPr>
              <w:t>Status</w:t>
            </w:r>
          </w:p>
        </w:tc>
      </w:tr>
      <w:tr>
        <w:trPr>
          <w:cantSplit w:val="true"/>
        </w:trPr>
        <w:tc>
          <w:tcPr>
            <w:tcW w:type="dxa" w:w="2541"/>
          </w:tcPr>
          <w:p>
            <w:r>
              <w:t>Weekly worship</w:t>
            </w:r>
          </w:p>
        </w:tc>
        <w:tc>
          <w:tcPr>
            <w:tcW w:type="dxa" w:w="2541"/>
          </w:tcPr>
          <w:p>
            <w:r>
              <w:t>[[DAY / TIME]]</w:t>
            </w:r>
          </w:p>
        </w:tc>
        <w:tc>
          <w:tcPr>
            <w:tcW w:type="dxa" w:w="2541"/>
          </w:tcPr>
          <w:p>
            <w:r>
              <w:t>Primary congregational worship</w:t>
            </w:r>
          </w:p>
        </w:tc>
        <w:tc>
          <w:tcPr>
            <w:tcW w:type="dxa" w:w="2541"/>
          </w:tcPr>
          <w:p>
            <w:r>
              <w:t>To be completed before CH-018 adoption</w:t>
            </w:r>
          </w:p>
        </w:tc>
      </w:tr>
      <w:tr>
        <w:trPr>
          <w:cantSplit w:val="true"/>
        </w:trPr>
        <w:tc>
          <w:tcPr>
            <w:tcW w:type="dxa" w:w="2541"/>
          </w:tcPr>
          <w:p>
            <w:r>
              <w:t>Weekly study</w:t>
            </w:r>
          </w:p>
        </w:tc>
        <w:tc>
          <w:tcPr>
            <w:tcW w:type="dxa" w:w="2541"/>
          </w:tcPr>
          <w:p>
            <w:r>
              <w:t>[[DAY / TIME]]</w:t>
            </w:r>
          </w:p>
        </w:tc>
        <w:tc>
          <w:tcPr>
            <w:tcW w:type="dxa" w:w="2541"/>
          </w:tcPr>
          <w:p>
            <w:r>
              <w:t>Religious study / formation</w:t>
            </w:r>
          </w:p>
        </w:tc>
        <w:tc>
          <w:tcPr>
            <w:tcW w:type="dxa" w:w="2541"/>
          </w:tcPr>
          <w:p>
            <w:r>
              <w:t>Proposed</w:t>
            </w:r>
          </w:p>
        </w:tc>
      </w:tr>
      <w:tr>
        <w:trPr>
          <w:cantSplit w:val="true"/>
        </w:trPr>
        <w:tc>
          <w:tcPr>
            <w:tcW w:type="dxa" w:w="2541"/>
          </w:tcPr>
          <w:p>
            <w:r>
              <w:t>Monthly communal forum</w:t>
            </w:r>
          </w:p>
        </w:tc>
        <w:tc>
          <w:tcPr>
            <w:tcW w:type="dxa" w:w="2541"/>
          </w:tcPr>
          <w:p>
            <w:r>
              <w:t>[[RULE]]</w:t>
            </w:r>
          </w:p>
        </w:tc>
        <w:tc>
          <w:tcPr>
            <w:tcW w:type="dxa" w:w="2541"/>
          </w:tcPr>
          <w:p>
            <w:r>
              <w:t>Questions, fellowship, discernment</w:t>
            </w:r>
          </w:p>
        </w:tc>
        <w:tc>
          <w:tcPr>
            <w:tcW w:type="dxa" w:w="2541"/>
          </w:tcPr>
          <w:p>
            <w:r>
              <w:t>Optional</w:t>
            </w:r>
          </w:p>
        </w:tc>
      </w:tr>
      <w:tr>
        <w:trPr>
          <w:cantSplit w:val="true"/>
        </w:trPr>
        <w:tc>
          <w:tcPr>
            <w:tcW w:type="dxa" w:w="2541"/>
          </w:tcPr>
          <w:p>
            <w:r>
              <w:t>Quarterly evidence review</w:t>
            </w:r>
          </w:p>
        </w:tc>
        <w:tc>
          <w:tcPr>
            <w:tcW w:type="dxa" w:w="2541"/>
          </w:tcPr>
          <w:p>
            <w:r>
              <w:t>Quarterly</w:t>
            </w:r>
          </w:p>
        </w:tc>
        <w:tc>
          <w:tcPr>
            <w:tcW w:type="dxa" w:w="2541"/>
          </w:tcPr>
          <w:p>
            <w:r>
              <w:t>Church-characteristics evidence audit</w:t>
            </w:r>
          </w:p>
        </w:tc>
        <w:tc>
          <w:tcPr>
            <w:tcW w:type="dxa" w:w="2541"/>
          </w:tcPr>
          <w:p>
            <w:r>
              <w:t>Administrative</w:t>
            </w:r>
          </w:p>
        </w:tc>
      </w:tr>
      <w:tr>
        <w:trPr>
          <w:cantSplit w:val="true"/>
        </w:trPr>
        <w:tc>
          <w:tcPr>
            <w:tcW w:type="dxa" w:w="2541"/>
          </w:tcPr>
          <w:p>
            <w:r>
              <w:t>Annual member assembly</w:t>
            </w:r>
          </w:p>
        </w:tc>
        <w:tc>
          <w:tcPr>
            <w:tcW w:type="dxa" w:w="2541"/>
          </w:tcPr>
          <w:p>
            <w:r>
              <w:t>[[DATE / RULE]]</w:t>
            </w:r>
          </w:p>
        </w:tc>
        <w:tc>
          <w:tcPr>
            <w:tcW w:type="dxa" w:w="2541"/>
          </w:tcPr>
          <w:p>
            <w:r>
              <w:t>Covenant Member Assembly</w:t>
            </w:r>
          </w:p>
        </w:tc>
        <w:tc>
          <w:tcPr>
            <w:tcW w:type="dxa" w:w="2541"/>
          </w:tcPr>
          <w:p>
            <w:r>
              <w:t>Ecclesiastical governance</w:t>
            </w:r>
          </w:p>
        </w:tc>
      </w:tr>
      <w:tr>
        <w:trPr>
          <w:cantSplit w:val="true"/>
        </w:trPr>
        <w:tc>
          <w:tcPr>
            <w:tcW w:type="dxa" w:w="2541"/>
          </w:tcPr>
          <w:p>
            <w:r>
              <w:t>Religious observance 1</w:t>
            </w:r>
          </w:p>
        </w:tc>
        <w:tc>
          <w:tcPr>
            <w:tcW w:type="dxa" w:w="2541"/>
          </w:tcPr>
          <w:p>
            <w:r>
              <w:t>[[DATE / RULE]]</w:t>
            </w:r>
          </w:p>
        </w:tc>
        <w:tc>
          <w:tcPr>
            <w:tcW w:type="dxa" w:w="2541"/>
          </w:tcPr>
          <w:p>
            <w:r>
              <w:t>[[NAME / MEANING]]</w:t>
            </w:r>
          </w:p>
        </w:tc>
        <w:tc>
          <w:tcPr>
            <w:tcW w:type="dxa" w:w="2541"/>
          </w:tcPr>
          <w:p>
            <w:r>
              <w:t>Not yet adopted</w:t>
            </w:r>
          </w:p>
        </w:tc>
      </w:tr>
      <w:tr>
        <w:trPr>
          <w:cantSplit w:val="true"/>
        </w:trPr>
        <w:tc>
          <w:tcPr>
            <w:tcW w:type="dxa" w:w="2541"/>
          </w:tcPr>
          <w:p>
            <w:r>
              <w:t>Religious observance 2</w:t>
            </w:r>
          </w:p>
        </w:tc>
        <w:tc>
          <w:tcPr>
            <w:tcW w:type="dxa" w:w="2541"/>
          </w:tcPr>
          <w:p>
            <w:r>
              <w:t>[[DATE / RULE]]</w:t>
            </w:r>
          </w:p>
        </w:tc>
        <w:tc>
          <w:tcPr>
            <w:tcW w:type="dxa" w:w="2541"/>
          </w:tcPr>
          <w:p>
            <w:r>
              <w:t>[[NAME / MEANING]]</w:t>
            </w:r>
          </w:p>
        </w:tc>
        <w:tc>
          <w:tcPr>
            <w:tcW w:type="dxa" w:w="2541"/>
          </w:tcPr>
          <w:p>
            <w:r>
              <w:t>Not yet adopted</w:t>
            </w:r>
          </w:p>
        </w:tc>
      </w:tr>
    </w:tbl>
    <w:p>
      <w:pPr>
        <w:pStyle w:val="Heading1"/>
      </w:pPr>
      <w:r>
        <w:t>4. Calendar Record Controls</w:t>
      </w:r>
    </w:p>
    <w:p>
      <w:pPr>
        <w:pStyle w:val="ListBullet"/>
      </w:pPr>
      <w:r>
        <w:t>Each recurring event should have an owner and source of authority.</w:t>
      </w:r>
    </w:p>
    <w:p>
      <w:pPr>
        <w:pStyle w:val="ListBullet"/>
      </w:pPr>
      <w:r>
        <w:t>Cancellations and relocations should be retained in the operational record.</w:t>
      </w:r>
    </w:p>
    <w:p>
      <w:pPr>
        <w:pStyle w:val="ListBullet"/>
      </w:pPr>
      <w:r>
        <w:t>Historic versions of the calendar should be retained when useful to demonstrate continuity.</w:t>
      </w:r>
    </w:p>
    <w:p>
      <w:pPr>
        <w:pStyle w:val="ListBullet"/>
      </w:pPr>
      <w:r>
        <w:t>Online publication should clearly distinguish recurring services from one-time events.</w:t>
      </w:r>
    </w:p>
    <w:p>
      <w:pPr>
        <w:pStyle w:val="Heading1"/>
      </w:pPr>
      <w:r>
        <w:t>5. Future Distinct Calendar</w:t>
      </w:r>
    </w:p>
    <w:p>
      <w:r>
        <w:t>If the Religious Body later adopts a non-Gregorian or heptadic calendar, a separate calendar specification should define epoch, year structure, intercalation, conversion, observance rules, and relationship to civil dates. No such calendar is adopted by this instrument.</w:t>
      </w:r>
    </w:p>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CH-021 | Religious Calendar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