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48"/>
        </w:rPr>
        <w:t>Adult Religious Education Program</w:t>
      </w:r>
    </w:p>
    <w:p>
      <w:pPr>
        <w:jc w:val="center"/>
      </w:pPr>
      <w:r>
        <w:rPr>
          <w:i/>
          <w:color w:val="475569"/>
          <w:sz w:val="24"/>
        </w:rPr>
        <w:t>Recurring religious instruction for adult members, participants, and seekers</w:t>
      </w:r>
    </w:p>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2937"/>
            <w:vAlign w:val="center"/>
          </w:tcPr>
          <w:p>
            <w:r/>
            <w:r>
              <w:rPr>
                <w:b/>
                <w:color w:val="FFFFFF"/>
                <w:sz w:val="18"/>
              </w:rPr>
              <w:t>Field</w:t>
            </w:r>
          </w:p>
        </w:tc>
        <w:tc>
          <w:tcPr>
            <w:tcW w:type="dxa" w:w="6912"/>
            <w:shd w:fill="1F2937"/>
            <w:vAlign w:val="center"/>
          </w:tcPr>
          <w:p>
            <w:r/>
            <w:r>
              <w:rPr>
                <w:b/>
                <w:color w:val="FFFFFF"/>
                <w:sz w:val="18"/>
              </w:rPr>
              <w:t>Entry</w:t>
            </w:r>
          </w:p>
        </w:tc>
      </w:tr>
      <w:tr>
        <w:trPr>
          <w:cantSplit/>
        </w:trPr>
        <w:tc>
          <w:tcPr>
            <w:tcW w:type="dxa" w:w="2880"/>
            <w:vAlign w:val="center"/>
          </w:tcPr>
          <w:p>
            <w:r/>
            <w:r>
              <w:rPr>
                <w:b w:val="0"/>
                <w:color w:val="111827"/>
                <w:sz w:val="17"/>
              </w:rPr>
              <w:t>Document ID</w:t>
            </w:r>
          </w:p>
        </w:tc>
        <w:tc>
          <w:tcPr>
            <w:tcW w:type="dxa" w:w="6912"/>
            <w:vAlign w:val="center"/>
          </w:tcPr>
          <w:p>
            <w:r/>
            <w:r>
              <w:rPr>
                <w:b w:val="0"/>
                <w:color w:val="111827"/>
                <w:sz w:val="17"/>
              </w:rPr>
              <w:t>CH-031</w:t>
            </w:r>
          </w:p>
        </w:tc>
      </w:tr>
      <w:tr>
        <w:trPr>
          <w:cantSplit/>
        </w:trPr>
        <w:tc>
          <w:tcPr>
            <w:tcW w:type="dxa" w:w="2880"/>
            <w:vAlign w:val="center"/>
          </w:tcPr>
          <w:p>
            <w:r/>
            <w:r>
              <w:rPr>
                <w:b w:val="0"/>
                <w:color w:val="111827"/>
                <w:sz w:val="17"/>
              </w:rPr>
              <w:t>Version</w:t>
            </w:r>
          </w:p>
        </w:tc>
        <w:tc>
          <w:tcPr>
            <w:tcW w:type="dxa" w:w="6912"/>
            <w:vAlign w:val="center"/>
          </w:tcPr>
          <w:p>
            <w:r/>
            <w:r>
              <w:rPr>
                <w:b w:val="0"/>
                <w:color w:val="111827"/>
                <w:sz w:val="17"/>
              </w:rPr>
              <w:t>0.1.0</w:t>
            </w:r>
          </w:p>
        </w:tc>
      </w:tr>
      <w:tr>
        <w:trPr>
          <w:cantSplit/>
        </w:trPr>
        <w:tc>
          <w:tcPr>
            <w:tcW w:type="dxa" w:w="2880"/>
            <w:vAlign w:val="center"/>
          </w:tcPr>
          <w:p>
            <w:r/>
            <w:r>
              <w:rPr>
                <w:b w:val="0"/>
                <w:color w:val="111827"/>
                <w:sz w:val="17"/>
              </w:rPr>
              <w:t>Status</w:t>
            </w:r>
          </w:p>
        </w:tc>
        <w:tc>
          <w:tcPr>
            <w:tcW w:type="dxa" w:w="6912"/>
            <w:vAlign w:val="center"/>
          </w:tcPr>
          <w:p>
            <w:r/>
            <w:r>
              <w:rPr>
                <w:b w:val="0"/>
                <w:color w:val="111827"/>
                <w:sz w:val="17"/>
              </w:rPr>
              <w:t>Working Draft - Not Effective Until Adopted</w:t>
            </w:r>
          </w:p>
        </w:tc>
      </w:tr>
      <w:tr>
        <w:trPr>
          <w:cantSplit/>
        </w:trPr>
        <w:tc>
          <w:tcPr>
            <w:tcW w:type="dxa" w:w="2880"/>
            <w:vAlign w:val="center"/>
          </w:tcPr>
          <w:p>
            <w:r/>
            <w:r>
              <w:rPr>
                <w:b w:val="0"/>
                <w:color w:val="111827"/>
                <w:sz w:val="17"/>
              </w:rPr>
              <w:t>Corporation / Religious Body</w:t>
            </w:r>
          </w:p>
        </w:tc>
        <w:tc>
          <w:tcPr>
            <w:tcW w:type="dxa" w:w="6912"/>
            <w:vAlign w:val="center"/>
          </w:tcPr>
          <w:p>
            <w:r/>
            <w:r>
              <w:rPr>
                <w:b w:val="0"/>
                <w:color w:val="111827"/>
                <w:sz w:val="17"/>
              </w:rPr>
              <w:t>[[CORP_NAME]]</w:t>
            </w:r>
          </w:p>
        </w:tc>
      </w:tr>
      <w:tr>
        <w:trPr>
          <w:cantSplit/>
        </w:trPr>
        <w:tc>
          <w:tcPr>
            <w:tcW w:type="dxa" w:w="2880"/>
            <w:vAlign w:val="center"/>
          </w:tcPr>
          <w:p>
            <w:r/>
            <w:r>
              <w:rPr>
                <w:b w:val="0"/>
                <w:color w:val="111827"/>
                <w:sz w:val="17"/>
              </w:rPr>
              <w:t>Parent Authority</w:t>
            </w:r>
          </w:p>
        </w:tc>
        <w:tc>
          <w:tcPr>
            <w:tcW w:type="dxa" w:w="6912"/>
            <w:vAlign w:val="center"/>
          </w:tcPr>
          <w:p>
            <w:r/>
            <w:r>
              <w:rPr>
                <w:b w:val="0"/>
                <w:color w:val="111827"/>
                <w:sz w:val="17"/>
              </w:rPr>
              <w:t>REL-CON-001; ECC-CON-001; MIN-001; applicable doctrine and safeguarding instruments</w:t>
            </w:r>
          </w:p>
        </w:tc>
      </w:tr>
      <w:tr>
        <w:trPr>
          <w:cantSplit/>
        </w:trPr>
        <w:tc>
          <w:tcPr>
            <w:tcW w:type="dxa" w:w="2880"/>
            <w:vAlign w:val="center"/>
          </w:tcPr>
          <w:p>
            <w:r/>
            <w:r>
              <w:rPr>
                <w:b w:val="0"/>
                <w:color w:val="111827"/>
                <w:sz w:val="17"/>
              </w:rPr>
              <w:t>Prepared</w:t>
            </w:r>
          </w:p>
        </w:tc>
        <w:tc>
          <w:tcPr>
            <w:tcW w:type="dxa" w:w="6912"/>
            <w:vAlign w:val="center"/>
          </w:tcPr>
          <w:p>
            <w:r/>
            <w:r>
              <w:rPr>
                <w:b w:val="0"/>
                <w:color w:val="111827"/>
                <w:sz w:val="17"/>
              </w:rPr>
              <w:t>September 2026</w:t>
            </w:r>
          </w:p>
        </w:tc>
      </w:tr>
    </w:tbl>
    <w:p/>
    <w:p>
      <w:pPr>
        <w:pStyle w:val="Heading2"/>
        <w:keepNext/>
      </w:pPr>
      <w:r>
        <w:t>Document-Control Notice</w:t>
      </w:r>
    </w:p>
    <w:p>
      <w:r>
        <w:t>This document is a working institutional instrument. Placeholder text in double brackets must be replaced with verified facts before adoption. No draft credential, course completion, ordination, ministry assignment, or educational activity may be represented as having occurred until the underlying act actually occurs and is contemporaneously recorded.</w:t>
      </w:r>
    </w:p>
    <w:p>
      <w:r>
        <w:br w:type="page"/>
      </w:r>
    </w:p>
    <w:p>
      <w:pPr>
        <w:pStyle w:val="Heading1"/>
        <w:keepNext/>
      </w:pPr>
      <w:r>
        <w:t>1. Purpose</w:t>
      </w:r>
    </w:p>
    <w:p>
      <w:pPr>
        <w:keepLines/>
      </w:pPr>
      <w:r>
        <w:t>The Adult Religious Education Program provides recurring structured instruction without requiring premature doctrinal certainty. It supports seekers, participants, Covenant Members, and leaders at different levels of depth.</w:t>
      </w:r>
    </w:p>
    <w:p>
      <w:pPr>
        <w:pStyle w:val="Heading1"/>
        <w:keepNext/>
      </w:pPr>
      <w:r>
        <w:t>2. Program Tracks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304"/>
            <w:shd w:fill="1F2937"/>
            <w:vAlign w:val="center"/>
          </w:tcPr>
          <w:p>
            <w:r/>
            <w:r>
              <w:rPr>
                <w:b/>
                <w:color w:val="FFFFFF"/>
                <w:sz w:val="18"/>
              </w:rPr>
              <w:t>Track</w:t>
            </w:r>
          </w:p>
        </w:tc>
        <w:tc>
          <w:tcPr>
            <w:tcW w:type="dxa" w:w="2304"/>
            <w:shd w:fill="1F2937"/>
            <w:vAlign w:val="center"/>
          </w:tcPr>
          <w:p>
            <w:r/>
            <w:r>
              <w:rPr>
                <w:b/>
                <w:color w:val="FFFFFF"/>
                <w:sz w:val="18"/>
              </w:rPr>
              <w:t>Audience</w:t>
            </w:r>
          </w:p>
        </w:tc>
        <w:tc>
          <w:tcPr>
            <w:tcW w:type="dxa" w:w="2592"/>
            <w:shd w:fill="1F2937"/>
            <w:vAlign w:val="center"/>
          </w:tcPr>
          <w:p>
            <w:r/>
            <w:r>
              <w:rPr>
                <w:b/>
                <w:color w:val="FFFFFF"/>
                <w:sz w:val="18"/>
              </w:rPr>
              <w:t>Format</w:t>
            </w:r>
          </w:p>
        </w:tc>
        <w:tc>
          <w:tcPr>
            <w:tcW w:type="dxa" w:w="3024"/>
            <w:shd w:fill="1F2937"/>
            <w:vAlign w:val="center"/>
          </w:tcPr>
          <w:p>
            <w:r/>
            <w:r>
              <w:rPr>
                <w:b/>
                <w:color w:val="FFFFFF"/>
                <w:sz w:val="18"/>
              </w:rPr>
              <w:t>Completion Outcome</w:t>
            </w:r>
          </w:p>
        </w:tc>
      </w:tr>
      <w:tr>
        <w:trPr>
          <w:cantSplit/>
        </w:trPr>
        <w:tc>
          <w:tcPr>
            <w:tcW w:type="dxa" w:w="2304"/>
            <w:vAlign w:val="center"/>
          </w:tcPr>
          <w:p>
            <w:r/>
            <w:r>
              <w:rPr>
                <w:b w:val="0"/>
                <w:color w:val="111827"/>
                <w:sz w:val="17"/>
              </w:rPr>
              <w:t>ARE-100 Orientation</w:t>
            </w:r>
          </w:p>
        </w:tc>
        <w:tc>
          <w:tcPr>
            <w:tcW w:type="dxa" w:w="2304"/>
            <w:vAlign w:val="center"/>
          </w:tcPr>
          <w:p>
            <w:r/>
            <w:r>
              <w:rPr>
                <w:b w:val="0"/>
                <w:color w:val="111827"/>
                <w:sz w:val="17"/>
              </w:rPr>
              <w:t>Visitors / new participants</w:t>
            </w:r>
          </w:p>
        </w:tc>
        <w:tc>
          <w:tcPr>
            <w:tcW w:type="dxa" w:w="2592"/>
            <w:vAlign w:val="center"/>
          </w:tcPr>
          <w:p>
            <w:r/>
            <w:r>
              <w:rPr>
                <w:b w:val="0"/>
                <w:color w:val="111827"/>
                <w:sz w:val="17"/>
              </w:rPr>
              <w:t>4 sessions</w:t>
            </w:r>
          </w:p>
        </w:tc>
        <w:tc>
          <w:tcPr>
            <w:tcW w:type="dxa" w:w="3024"/>
            <w:vAlign w:val="center"/>
          </w:tcPr>
          <w:p>
            <w:r/>
            <w:r>
              <w:rPr>
                <w:b w:val="0"/>
                <w:color w:val="111827"/>
                <w:sz w:val="17"/>
              </w:rPr>
              <w:t>Understand community purpose, worship, governance, conscience rights, and membership pathway</w:t>
            </w:r>
          </w:p>
        </w:tc>
      </w:tr>
      <w:tr>
        <w:trPr>
          <w:cantSplit/>
        </w:trPr>
        <w:tc>
          <w:tcPr>
            <w:tcW w:type="dxa" w:w="2304"/>
            <w:vAlign w:val="center"/>
          </w:tcPr>
          <w:p>
            <w:r/>
            <w:r>
              <w:rPr>
                <w:b w:val="0"/>
                <w:color w:val="111827"/>
                <w:sz w:val="17"/>
              </w:rPr>
              <w:t>ARE-200 Foundations</w:t>
            </w:r>
          </w:p>
        </w:tc>
        <w:tc>
          <w:tcPr>
            <w:tcW w:type="dxa" w:w="2304"/>
            <w:vAlign w:val="center"/>
          </w:tcPr>
          <w:p>
            <w:r/>
            <w:r>
              <w:rPr>
                <w:b w:val="0"/>
                <w:color w:val="111827"/>
                <w:sz w:val="17"/>
              </w:rPr>
              <w:t>Participants / adherents</w:t>
            </w:r>
          </w:p>
        </w:tc>
        <w:tc>
          <w:tcPr>
            <w:tcW w:type="dxa" w:w="2592"/>
            <w:vAlign w:val="center"/>
          </w:tcPr>
          <w:p>
            <w:r/>
            <w:r>
              <w:rPr>
                <w:b w:val="0"/>
                <w:color w:val="111827"/>
                <w:sz w:val="17"/>
              </w:rPr>
              <w:t>12 sessions</w:t>
            </w:r>
          </w:p>
        </w:tc>
        <w:tc>
          <w:tcPr>
            <w:tcW w:type="dxa" w:w="3024"/>
            <w:vAlign w:val="center"/>
          </w:tcPr>
          <w:p>
            <w:r/>
            <w:r>
              <w:rPr>
                <w:b w:val="0"/>
                <w:color w:val="111827"/>
                <w:sz w:val="17"/>
              </w:rPr>
              <w:t>Competence in beliefs, history, sources, ethics, worship, and comparative religious method</w:t>
            </w:r>
          </w:p>
        </w:tc>
      </w:tr>
      <w:tr>
        <w:trPr>
          <w:cantSplit/>
        </w:trPr>
        <w:tc>
          <w:tcPr>
            <w:tcW w:type="dxa" w:w="2304"/>
            <w:vAlign w:val="center"/>
          </w:tcPr>
          <w:p>
            <w:r/>
            <w:r>
              <w:rPr>
                <w:b w:val="0"/>
                <w:color w:val="111827"/>
                <w:sz w:val="17"/>
              </w:rPr>
              <w:t>ARE-300 Covenant Formation</w:t>
            </w:r>
          </w:p>
        </w:tc>
        <w:tc>
          <w:tcPr>
            <w:tcW w:type="dxa" w:w="2304"/>
            <w:vAlign w:val="center"/>
          </w:tcPr>
          <w:p>
            <w:r/>
            <w:r>
              <w:rPr>
                <w:b w:val="0"/>
                <w:color w:val="111827"/>
                <w:sz w:val="17"/>
              </w:rPr>
              <w:t>Covenant Candidates</w:t>
            </w:r>
          </w:p>
        </w:tc>
        <w:tc>
          <w:tcPr>
            <w:tcW w:type="dxa" w:w="2592"/>
            <w:vAlign w:val="center"/>
          </w:tcPr>
          <w:p>
            <w:r/>
            <w:r>
              <w:rPr>
                <w:b w:val="0"/>
                <w:color w:val="111827"/>
                <w:sz w:val="17"/>
              </w:rPr>
              <w:t>8 sessions + discussion</w:t>
            </w:r>
          </w:p>
        </w:tc>
        <w:tc>
          <w:tcPr>
            <w:tcW w:type="dxa" w:w="3024"/>
            <w:vAlign w:val="center"/>
          </w:tcPr>
          <w:p>
            <w:r/>
            <w:r>
              <w:rPr>
                <w:b w:val="0"/>
                <w:color w:val="111827"/>
                <w:sz w:val="17"/>
              </w:rPr>
              <w:t>Informed voluntary covenant decision and understanding of rights/responsibilities</w:t>
            </w:r>
          </w:p>
        </w:tc>
      </w:tr>
      <w:tr>
        <w:trPr>
          <w:cantSplit/>
        </w:trPr>
        <w:tc>
          <w:tcPr>
            <w:tcW w:type="dxa" w:w="2304"/>
            <w:vAlign w:val="center"/>
          </w:tcPr>
          <w:p>
            <w:r/>
            <w:r>
              <w:rPr>
                <w:b w:val="0"/>
                <w:color w:val="111827"/>
                <w:sz w:val="17"/>
              </w:rPr>
              <w:t>ARE-400 Continuing Formation</w:t>
            </w:r>
          </w:p>
        </w:tc>
        <w:tc>
          <w:tcPr>
            <w:tcW w:type="dxa" w:w="2304"/>
            <w:vAlign w:val="center"/>
          </w:tcPr>
          <w:p>
            <w:r/>
            <w:r>
              <w:rPr>
                <w:b w:val="0"/>
                <w:color w:val="111827"/>
                <w:sz w:val="17"/>
              </w:rPr>
              <w:t>Covenant Members</w:t>
            </w:r>
          </w:p>
        </w:tc>
        <w:tc>
          <w:tcPr>
            <w:tcW w:type="dxa" w:w="2592"/>
            <w:vAlign w:val="center"/>
          </w:tcPr>
          <w:p>
            <w:r/>
            <w:r>
              <w:rPr>
                <w:b w:val="0"/>
                <w:color w:val="111827"/>
                <w:sz w:val="17"/>
              </w:rPr>
              <w:t>Recurring seminars</w:t>
            </w:r>
          </w:p>
        </w:tc>
        <w:tc>
          <w:tcPr>
            <w:tcW w:type="dxa" w:w="3024"/>
            <w:vAlign w:val="center"/>
          </w:tcPr>
          <w:p>
            <w:r/>
            <w:r>
              <w:rPr>
                <w:b w:val="0"/>
                <w:color w:val="111827"/>
                <w:sz w:val="17"/>
              </w:rPr>
              <w:t>Ongoing doctrine, texts, ethics, practice, service, and institutional discernment</w:t>
            </w:r>
          </w:p>
        </w:tc>
      </w:tr>
      <w:tr>
        <w:trPr>
          <w:cantSplit/>
        </w:trPr>
        <w:tc>
          <w:tcPr>
            <w:tcW w:type="dxa" w:w="2304"/>
            <w:vAlign w:val="center"/>
          </w:tcPr>
          <w:p>
            <w:r/>
            <w:r>
              <w:rPr>
                <w:b w:val="0"/>
                <w:color w:val="111827"/>
                <w:sz w:val="17"/>
              </w:rPr>
              <w:t>ARE-500 Advanced Inquiry</w:t>
            </w:r>
          </w:p>
        </w:tc>
        <w:tc>
          <w:tcPr>
            <w:tcW w:type="dxa" w:w="2304"/>
            <w:vAlign w:val="center"/>
          </w:tcPr>
          <w:p>
            <w:r/>
            <w:r>
              <w:rPr>
                <w:b w:val="0"/>
                <w:color w:val="111827"/>
                <w:sz w:val="17"/>
              </w:rPr>
              <w:t>Members / teachers / ministers</w:t>
            </w:r>
          </w:p>
        </w:tc>
        <w:tc>
          <w:tcPr>
            <w:tcW w:type="dxa" w:w="2592"/>
            <w:vAlign w:val="center"/>
          </w:tcPr>
          <w:p>
            <w:r/>
            <w:r>
              <w:rPr>
                <w:b w:val="0"/>
                <w:color w:val="111827"/>
                <w:sz w:val="17"/>
              </w:rPr>
              <w:t>Seminars, reading groups, research colloquia</w:t>
            </w:r>
          </w:p>
        </w:tc>
        <w:tc>
          <w:tcPr>
            <w:tcW w:type="dxa" w:w="3024"/>
            <w:vAlign w:val="center"/>
          </w:tcPr>
          <w:p>
            <w:r/>
            <w:r>
              <w:rPr>
                <w:b w:val="0"/>
                <w:color w:val="111827"/>
                <w:sz w:val="17"/>
              </w:rPr>
              <w:t>Advanced comparative, historical, theological, and philosophical inquiry</w:t>
            </w:r>
          </w:p>
        </w:tc>
      </w:tr>
    </w:tbl>
    <w:p/>
    <w:p>
      <w:pPr>
        <w:pStyle w:val="Heading1"/>
        <w:keepNext/>
      </w:pPr>
      <w:r>
        <w:t>3. ARE-200 Foundations Curriculum</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08"/>
            <w:shd w:fill="1F2937"/>
            <w:vAlign w:val="center"/>
          </w:tcPr>
          <w:p>
            <w:r/>
            <w:r>
              <w:rPr>
                <w:b/>
                <w:color w:val="FFFFFF"/>
                <w:sz w:val="18"/>
              </w:rPr>
              <w:t>Session</w:t>
            </w:r>
          </w:p>
        </w:tc>
        <w:tc>
          <w:tcPr>
            <w:tcW w:type="dxa" w:w="4032"/>
            <w:shd w:fill="1F2937"/>
            <w:vAlign w:val="center"/>
          </w:tcPr>
          <w:p>
            <w:r/>
            <w:r>
              <w:rPr>
                <w:b/>
                <w:color w:val="FFFFFF"/>
                <w:sz w:val="18"/>
              </w:rPr>
              <w:t>Topic</w:t>
            </w:r>
          </w:p>
        </w:tc>
        <w:tc>
          <w:tcPr>
            <w:tcW w:type="dxa" w:w="5184"/>
            <w:shd w:fill="1F2937"/>
            <w:vAlign w:val="center"/>
          </w:tcPr>
          <w:p>
            <w:r/>
            <w:r>
              <w:rPr>
                <w:b/>
                <w:color w:val="FFFFFF"/>
                <w:sz w:val="18"/>
              </w:rPr>
              <w:t>Core Question</w:t>
            </w:r>
          </w:p>
        </w:tc>
      </w:tr>
      <w:tr>
        <w:trPr>
          <w:cantSplit/>
        </w:trPr>
        <w:tc>
          <w:tcPr>
            <w:tcW w:type="dxa" w:w="1008"/>
            <w:vAlign w:val="center"/>
          </w:tcPr>
          <w:p>
            <w:r/>
            <w:r>
              <w:rPr>
                <w:b w:val="0"/>
                <w:color w:val="111827"/>
                <w:sz w:val="17"/>
              </w:rPr>
              <w:t>1</w:t>
            </w:r>
          </w:p>
        </w:tc>
        <w:tc>
          <w:tcPr>
            <w:tcW w:type="dxa" w:w="4032"/>
            <w:vAlign w:val="center"/>
          </w:tcPr>
          <w:p>
            <w:r/>
            <w:r>
              <w:rPr>
                <w:b w:val="0"/>
                <w:color w:val="111827"/>
                <w:sz w:val="17"/>
              </w:rPr>
              <w:t>Why this religious community exists</w:t>
            </w:r>
          </w:p>
        </w:tc>
        <w:tc>
          <w:tcPr>
            <w:tcW w:type="dxa" w:w="5184"/>
            <w:vAlign w:val="center"/>
          </w:tcPr>
          <w:p>
            <w:r/>
            <w:r>
              <w:rPr>
                <w:b w:val="0"/>
                <w:color w:val="111827"/>
                <w:sz w:val="17"/>
              </w:rPr>
              <w:t>What are we seeking, and what do we refuse to pretend we already know?</w:t>
            </w:r>
          </w:p>
        </w:tc>
      </w:tr>
      <w:tr>
        <w:trPr>
          <w:cantSplit/>
        </w:trPr>
        <w:tc>
          <w:tcPr>
            <w:tcW w:type="dxa" w:w="1008"/>
            <w:vAlign w:val="center"/>
          </w:tcPr>
          <w:p>
            <w:r/>
            <w:r>
              <w:rPr>
                <w:b w:val="0"/>
                <w:color w:val="111827"/>
                <w:sz w:val="17"/>
              </w:rPr>
              <w:t>2</w:t>
            </w:r>
          </w:p>
        </w:tc>
        <w:tc>
          <w:tcPr>
            <w:tcW w:type="dxa" w:w="4032"/>
            <w:vAlign w:val="center"/>
          </w:tcPr>
          <w:p>
            <w:r/>
            <w:r>
              <w:rPr>
                <w:b w:val="0"/>
                <w:color w:val="111827"/>
                <w:sz w:val="17"/>
              </w:rPr>
              <w:t>Global history of claimed transcendent contact</w:t>
            </w:r>
          </w:p>
        </w:tc>
        <w:tc>
          <w:tcPr>
            <w:tcW w:type="dxa" w:w="5184"/>
            <w:vAlign w:val="center"/>
          </w:tcPr>
          <w:p>
            <w:r/>
            <w:r>
              <w:rPr>
                <w:b w:val="0"/>
                <w:color w:val="111827"/>
                <w:sz w:val="17"/>
              </w:rPr>
              <w:t>What kinds of encounters have humans reported across cultures?</w:t>
            </w:r>
          </w:p>
        </w:tc>
      </w:tr>
      <w:tr>
        <w:trPr>
          <w:cantSplit/>
        </w:trPr>
        <w:tc>
          <w:tcPr>
            <w:tcW w:type="dxa" w:w="1008"/>
            <w:vAlign w:val="center"/>
          </w:tcPr>
          <w:p>
            <w:r/>
            <w:r>
              <w:rPr>
                <w:b w:val="0"/>
                <w:color w:val="111827"/>
                <w:sz w:val="17"/>
              </w:rPr>
              <w:t>3</w:t>
            </w:r>
          </w:p>
        </w:tc>
        <w:tc>
          <w:tcPr>
            <w:tcW w:type="dxa" w:w="4032"/>
            <w:vAlign w:val="center"/>
          </w:tcPr>
          <w:p>
            <w:r/>
            <w:r>
              <w:rPr>
                <w:b w:val="0"/>
                <w:color w:val="111827"/>
                <w:sz w:val="17"/>
              </w:rPr>
              <w:t>Encounter and interpretation</w:t>
            </w:r>
          </w:p>
        </w:tc>
        <w:tc>
          <w:tcPr>
            <w:tcW w:type="dxa" w:w="5184"/>
            <w:vAlign w:val="center"/>
          </w:tcPr>
          <w:p>
            <w:r/>
            <w:r>
              <w:rPr>
                <w:b w:val="0"/>
                <w:color w:val="111827"/>
                <w:sz w:val="17"/>
              </w:rPr>
              <w:t>How do experience, memory, language, culture, and institution interact?</w:t>
            </w:r>
          </w:p>
        </w:tc>
      </w:tr>
      <w:tr>
        <w:trPr>
          <w:cantSplit/>
        </w:trPr>
        <w:tc>
          <w:tcPr>
            <w:tcW w:type="dxa" w:w="1008"/>
            <w:vAlign w:val="center"/>
          </w:tcPr>
          <w:p>
            <w:r/>
            <w:r>
              <w:rPr>
                <w:b w:val="0"/>
                <w:color w:val="111827"/>
                <w:sz w:val="17"/>
              </w:rPr>
              <w:t>4</w:t>
            </w:r>
          </w:p>
        </w:tc>
        <w:tc>
          <w:tcPr>
            <w:tcW w:type="dxa" w:w="4032"/>
            <w:vAlign w:val="center"/>
          </w:tcPr>
          <w:p>
            <w:r/>
            <w:r>
              <w:rPr>
                <w:b w:val="0"/>
                <w:color w:val="111827"/>
                <w:sz w:val="17"/>
              </w:rPr>
              <w:t>Sources and evidence</w:t>
            </w:r>
          </w:p>
        </w:tc>
        <w:tc>
          <w:tcPr>
            <w:tcW w:type="dxa" w:w="5184"/>
            <w:vAlign w:val="center"/>
          </w:tcPr>
          <w:p>
            <w:r/>
            <w:r>
              <w:rPr>
                <w:b w:val="0"/>
                <w:color w:val="111827"/>
                <w:sz w:val="17"/>
              </w:rPr>
              <w:t>What gives a religious claim weight, and how do we handle uncertainty?</w:t>
            </w:r>
          </w:p>
        </w:tc>
      </w:tr>
      <w:tr>
        <w:trPr>
          <w:cantSplit/>
        </w:trPr>
        <w:tc>
          <w:tcPr>
            <w:tcW w:type="dxa" w:w="1008"/>
            <w:vAlign w:val="center"/>
          </w:tcPr>
          <w:p>
            <w:r/>
            <w:r>
              <w:rPr>
                <w:b w:val="0"/>
                <w:color w:val="111827"/>
                <w:sz w:val="17"/>
              </w:rPr>
              <w:t>5</w:t>
            </w:r>
          </w:p>
        </w:tc>
        <w:tc>
          <w:tcPr>
            <w:tcW w:type="dxa" w:w="4032"/>
            <w:vAlign w:val="center"/>
          </w:tcPr>
          <w:p>
            <w:r/>
            <w:r>
              <w:rPr>
                <w:b w:val="0"/>
                <w:color w:val="111827"/>
                <w:sz w:val="17"/>
              </w:rPr>
              <w:t>Foundational beliefs</w:t>
            </w:r>
          </w:p>
        </w:tc>
        <w:tc>
          <w:tcPr>
            <w:tcW w:type="dxa" w:w="5184"/>
            <w:vAlign w:val="center"/>
          </w:tcPr>
          <w:p>
            <w:r/>
            <w:r>
              <w:rPr>
                <w:b w:val="0"/>
                <w:color w:val="111827"/>
                <w:sz w:val="17"/>
              </w:rPr>
              <w:t>What commitments currently define the community?</w:t>
            </w:r>
          </w:p>
        </w:tc>
      </w:tr>
      <w:tr>
        <w:trPr>
          <w:cantSplit/>
        </w:trPr>
        <w:tc>
          <w:tcPr>
            <w:tcW w:type="dxa" w:w="1008"/>
            <w:vAlign w:val="center"/>
          </w:tcPr>
          <w:p>
            <w:r/>
            <w:r>
              <w:rPr>
                <w:b w:val="0"/>
                <w:color w:val="111827"/>
                <w:sz w:val="17"/>
              </w:rPr>
              <w:t>6</w:t>
            </w:r>
          </w:p>
        </w:tc>
        <w:tc>
          <w:tcPr>
            <w:tcW w:type="dxa" w:w="4032"/>
            <w:vAlign w:val="center"/>
          </w:tcPr>
          <w:p>
            <w:r/>
            <w:r>
              <w:rPr>
                <w:b w:val="0"/>
                <w:color w:val="111827"/>
                <w:sz w:val="17"/>
              </w:rPr>
              <w:t>Doctrine and doctrinal development</w:t>
            </w:r>
          </w:p>
        </w:tc>
        <w:tc>
          <w:tcPr>
            <w:tcW w:type="dxa" w:w="5184"/>
            <w:vAlign w:val="center"/>
          </w:tcPr>
          <w:p>
            <w:r/>
            <w:r>
              <w:rPr>
                <w:b w:val="0"/>
                <w:color w:val="111827"/>
                <w:sz w:val="17"/>
              </w:rPr>
              <w:t>What is binding, interpretive, pastoral, scholarly, or provisional?</w:t>
            </w:r>
          </w:p>
        </w:tc>
      </w:tr>
      <w:tr>
        <w:trPr>
          <w:cantSplit/>
        </w:trPr>
        <w:tc>
          <w:tcPr>
            <w:tcW w:type="dxa" w:w="1008"/>
            <w:vAlign w:val="center"/>
          </w:tcPr>
          <w:p>
            <w:r/>
            <w:r>
              <w:rPr>
                <w:b w:val="0"/>
                <w:color w:val="111827"/>
                <w:sz w:val="17"/>
              </w:rPr>
              <w:t>7</w:t>
            </w:r>
          </w:p>
        </w:tc>
        <w:tc>
          <w:tcPr>
            <w:tcW w:type="dxa" w:w="4032"/>
            <w:vAlign w:val="center"/>
          </w:tcPr>
          <w:p>
            <w:r/>
            <w:r>
              <w:rPr>
                <w:b w:val="0"/>
                <w:color w:val="111827"/>
                <w:sz w:val="17"/>
              </w:rPr>
              <w:t>Worship and spiritual practice</w:t>
            </w:r>
          </w:p>
        </w:tc>
        <w:tc>
          <w:tcPr>
            <w:tcW w:type="dxa" w:w="5184"/>
            <w:vAlign w:val="center"/>
          </w:tcPr>
          <w:p>
            <w:r/>
            <w:r>
              <w:rPr>
                <w:b w:val="0"/>
                <w:color w:val="111827"/>
                <w:sz w:val="17"/>
              </w:rPr>
              <w:t>How does communal practice express devotion and inquiry?</w:t>
            </w:r>
          </w:p>
        </w:tc>
      </w:tr>
      <w:tr>
        <w:trPr>
          <w:cantSplit/>
        </w:trPr>
        <w:tc>
          <w:tcPr>
            <w:tcW w:type="dxa" w:w="1008"/>
            <w:vAlign w:val="center"/>
          </w:tcPr>
          <w:p>
            <w:r/>
            <w:r>
              <w:rPr>
                <w:b w:val="0"/>
                <w:color w:val="111827"/>
                <w:sz w:val="17"/>
              </w:rPr>
              <w:t>8</w:t>
            </w:r>
          </w:p>
        </w:tc>
        <w:tc>
          <w:tcPr>
            <w:tcW w:type="dxa" w:w="4032"/>
            <w:vAlign w:val="center"/>
          </w:tcPr>
          <w:p>
            <w:r/>
            <w:r>
              <w:rPr>
                <w:b w:val="0"/>
                <w:color w:val="111827"/>
                <w:sz w:val="17"/>
              </w:rPr>
              <w:t>Ethics and human dignity</w:t>
            </w:r>
          </w:p>
        </w:tc>
        <w:tc>
          <w:tcPr>
            <w:tcW w:type="dxa" w:w="5184"/>
            <w:vAlign w:val="center"/>
          </w:tcPr>
          <w:p>
            <w:r/>
            <w:r>
              <w:rPr>
                <w:b w:val="0"/>
                <w:color w:val="111827"/>
                <w:sz w:val="17"/>
              </w:rPr>
              <w:t>How should belief shape conduct, power, and care for others?</w:t>
            </w:r>
          </w:p>
        </w:tc>
      </w:tr>
      <w:tr>
        <w:trPr>
          <w:cantSplit/>
        </w:trPr>
        <w:tc>
          <w:tcPr>
            <w:tcW w:type="dxa" w:w="1008"/>
            <w:vAlign w:val="center"/>
          </w:tcPr>
          <w:p>
            <w:r/>
            <w:r>
              <w:rPr>
                <w:b w:val="0"/>
                <w:color w:val="111827"/>
                <w:sz w:val="17"/>
              </w:rPr>
              <w:t>9</w:t>
            </w:r>
          </w:p>
        </w:tc>
        <w:tc>
          <w:tcPr>
            <w:tcW w:type="dxa" w:w="4032"/>
            <w:vAlign w:val="center"/>
          </w:tcPr>
          <w:p>
            <w:r/>
            <w:r>
              <w:rPr>
                <w:b w:val="0"/>
                <w:color w:val="111827"/>
                <w:sz w:val="17"/>
              </w:rPr>
              <w:t>Religious community and membership</w:t>
            </w:r>
          </w:p>
        </w:tc>
        <w:tc>
          <w:tcPr>
            <w:tcW w:type="dxa" w:w="5184"/>
            <w:vAlign w:val="center"/>
          </w:tcPr>
          <w:p>
            <w:r/>
            <w:r>
              <w:rPr>
                <w:b w:val="0"/>
                <w:color w:val="111827"/>
                <w:sz w:val="17"/>
              </w:rPr>
              <w:t>What does belonging mean, and what does it not mean?</w:t>
            </w:r>
          </w:p>
        </w:tc>
      </w:tr>
      <w:tr>
        <w:trPr>
          <w:cantSplit/>
        </w:trPr>
        <w:tc>
          <w:tcPr>
            <w:tcW w:type="dxa" w:w="1008"/>
            <w:vAlign w:val="center"/>
          </w:tcPr>
          <w:p>
            <w:r/>
            <w:r>
              <w:rPr>
                <w:b w:val="0"/>
                <w:color w:val="111827"/>
                <w:sz w:val="17"/>
              </w:rPr>
              <w:t>10</w:t>
            </w:r>
          </w:p>
        </w:tc>
        <w:tc>
          <w:tcPr>
            <w:tcW w:type="dxa" w:w="4032"/>
            <w:vAlign w:val="center"/>
          </w:tcPr>
          <w:p>
            <w:r/>
            <w:r>
              <w:rPr>
                <w:b w:val="0"/>
                <w:color w:val="111827"/>
                <w:sz w:val="17"/>
              </w:rPr>
              <w:t>Governance and accountability</w:t>
            </w:r>
          </w:p>
        </w:tc>
        <w:tc>
          <w:tcPr>
            <w:tcW w:type="dxa" w:w="5184"/>
            <w:vAlign w:val="center"/>
          </w:tcPr>
          <w:p>
            <w:r/>
            <w:r>
              <w:rPr>
                <w:b w:val="0"/>
                <w:color w:val="111827"/>
                <w:sz w:val="17"/>
              </w:rPr>
              <w:t>How are authority, conscience, discipline, and appeal structured?</w:t>
            </w:r>
          </w:p>
        </w:tc>
      </w:tr>
      <w:tr>
        <w:trPr>
          <w:cantSplit/>
        </w:trPr>
        <w:tc>
          <w:tcPr>
            <w:tcW w:type="dxa" w:w="1008"/>
            <w:vAlign w:val="center"/>
          </w:tcPr>
          <w:p>
            <w:r/>
            <w:r>
              <w:rPr>
                <w:b w:val="0"/>
                <w:color w:val="111827"/>
                <w:sz w:val="17"/>
              </w:rPr>
              <w:t>11</w:t>
            </w:r>
          </w:p>
        </w:tc>
        <w:tc>
          <w:tcPr>
            <w:tcW w:type="dxa" w:w="4032"/>
            <w:vAlign w:val="center"/>
          </w:tcPr>
          <w:p>
            <w:r/>
            <w:r>
              <w:rPr>
                <w:b w:val="0"/>
                <w:color w:val="111827"/>
                <w:sz w:val="17"/>
              </w:rPr>
              <w:t>Rites, life transitions, and service</w:t>
            </w:r>
          </w:p>
        </w:tc>
        <w:tc>
          <w:tcPr>
            <w:tcW w:type="dxa" w:w="5184"/>
            <w:vAlign w:val="center"/>
          </w:tcPr>
          <w:p>
            <w:r/>
            <w:r>
              <w:rPr>
                <w:b w:val="0"/>
                <w:color w:val="111827"/>
                <w:sz w:val="17"/>
              </w:rPr>
              <w:t>How does the community mark significant moments and serve others?</w:t>
            </w:r>
          </w:p>
        </w:tc>
      </w:tr>
      <w:tr>
        <w:trPr>
          <w:cantSplit/>
        </w:trPr>
        <w:tc>
          <w:tcPr>
            <w:tcW w:type="dxa" w:w="1008"/>
            <w:vAlign w:val="center"/>
          </w:tcPr>
          <w:p>
            <w:r/>
            <w:r>
              <w:rPr>
                <w:b w:val="0"/>
                <w:color w:val="111827"/>
                <w:sz w:val="17"/>
              </w:rPr>
              <w:t>12</w:t>
            </w:r>
          </w:p>
        </w:tc>
        <w:tc>
          <w:tcPr>
            <w:tcW w:type="dxa" w:w="4032"/>
            <w:vAlign w:val="center"/>
          </w:tcPr>
          <w:p>
            <w:r/>
            <w:r>
              <w:rPr>
                <w:b w:val="0"/>
                <w:color w:val="111827"/>
                <w:sz w:val="17"/>
              </w:rPr>
              <w:t>Continuing inquiry</w:t>
            </w:r>
          </w:p>
        </w:tc>
        <w:tc>
          <w:tcPr>
            <w:tcW w:type="dxa" w:w="5184"/>
            <w:vAlign w:val="center"/>
          </w:tcPr>
          <w:p>
            <w:r/>
            <w:r>
              <w:rPr>
                <w:b w:val="0"/>
                <w:color w:val="111827"/>
                <w:sz w:val="17"/>
              </w:rPr>
              <w:t>Which questions remain open, and how can members contribute responsibly?</w:t>
            </w:r>
          </w:p>
        </w:tc>
      </w:tr>
    </w:tbl>
    <w:p/>
    <w:p>
      <w:pPr>
        <w:pStyle w:val="Heading1"/>
        <w:keepNext/>
      </w:pPr>
      <w:r>
        <w:t>4. Teaching Standard</w:t>
      </w:r>
    </w:p>
    <w:p>
      <w:pPr>
        <w:pStyle w:val="ListBullet"/>
        <w:keepLines/>
      </w:pPr>
      <w:r>
        <w:t>Use an identifiable syllabus and lesson record.</w:t>
      </w:r>
    </w:p>
    <w:p>
      <w:pPr>
        <w:pStyle w:val="ListBullet"/>
        <w:keepLines/>
      </w:pPr>
      <w:r>
        <w:t>Distinguish formal doctrine from scholarly or exploratory material.</w:t>
      </w:r>
    </w:p>
    <w:p>
      <w:pPr>
        <w:pStyle w:val="ListBullet"/>
        <w:keepLines/>
      </w:pPr>
      <w:r>
        <w:t>Invite good-faith questions without treating doubt as misconduct.</w:t>
      </w:r>
    </w:p>
    <w:p>
      <w:pPr>
        <w:pStyle w:val="ListBullet"/>
        <w:keepLines/>
      </w:pPr>
      <w:r>
        <w:t>Present contested historical questions with source transparency.</w:t>
      </w:r>
    </w:p>
    <w:p>
      <w:pPr>
        <w:pStyle w:val="ListBullet"/>
        <w:keepLines/>
      </w:pPr>
      <w:r>
        <w:t>Do not use education to pressure financial giving, surrender of property, political allegiance, social isolation, or personal loyalty to leaders.</w:t>
      </w:r>
    </w:p>
    <w:p>
      <w:pPr>
        <w:pStyle w:val="ListBullet"/>
        <w:keepLines/>
      </w:pPr>
      <w:r>
        <w:t>Refer medical, legal, financial, and mental-health issues to qualified professionals when appropriate.</w:t>
      </w:r>
    </w:p>
    <w:p>
      <w:pPr>
        <w:pStyle w:val="Heading1"/>
        <w:keepNext/>
      </w:pPr>
      <w:r>
        <w:t>5. Records</w:t>
      </w:r>
    </w:p>
    <w:p>
      <w:pPr>
        <w:keepLines/>
      </w:pPr>
      <w:r>
        <w:t>Maintain course/session ID, date, instructor, location/mode, syllabus version, attendance where appropriate, materials used, and completion records for programs where completion has membership or ministry consequences.</w:t>
      </w:r>
    </w:p>
    <w:p>
      <w:pPr>
        <w:pStyle w:val="Heading1"/>
        <w:keepNext/>
      </w:pPr>
      <w:r>
        <w:t>Adoption and Certification</w:t>
      </w:r>
    </w:p>
    <w:p>
      <w:pPr>
        <w:keepLines/>
      </w:pPr>
      <w:r>
        <w:t>This instrument becomes effective only upon valid adoption by the competent ecclesiastical authority. Drafting, circulation, training, or use as a template does not itself constitute adoption.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F2937"/>
            <w:vAlign w:val="center"/>
          </w:tcPr>
          <w:p>
            <w:r/>
            <w:r>
              <w:rPr>
                <w:b/>
                <w:color w:val="FFFFFF"/>
                <w:sz w:val="18"/>
              </w:rPr>
              <w:t>Field</w:t>
            </w:r>
          </w:p>
        </w:tc>
        <w:tc>
          <w:tcPr>
            <w:tcW w:type="dxa" w:w="6624"/>
            <w:shd w:fill="1F2937"/>
            <w:vAlign w:val="center"/>
          </w:tcPr>
          <w:p>
            <w:r/>
            <w:r>
              <w:rPr>
                <w:b/>
                <w:color w:val="FFFFFF"/>
                <w:sz w:val="18"/>
              </w:rPr>
              <w:t>Entry</w:t>
            </w:r>
          </w:p>
        </w:tc>
      </w:tr>
      <w:tr>
        <w:trPr>
          <w:cantSplit/>
        </w:trPr>
        <w:tc>
          <w:tcPr>
            <w:tcW w:type="dxa" w:w="3168"/>
            <w:vAlign w:val="center"/>
          </w:tcPr>
          <w:p>
            <w:r/>
            <w:r>
              <w:rPr>
                <w:b w:val="0"/>
                <w:color w:val="111827"/>
                <w:sz w:val="17"/>
              </w:rPr>
              <w:t>Corporation / Religious Body</w:t>
            </w:r>
          </w:p>
        </w:tc>
        <w:tc>
          <w:tcPr>
            <w:tcW w:type="dxa" w:w="6624"/>
            <w:vAlign w:val="center"/>
          </w:tcPr>
          <w:p>
            <w:r/>
            <w:r>
              <w:rPr>
                <w:b w:val="0"/>
                <w:color w:val="111827"/>
                <w:sz w:val="17"/>
              </w:rPr>
              <w:t>[[CORP_NAME]]</w:t>
            </w:r>
          </w:p>
        </w:tc>
      </w:tr>
      <w:tr>
        <w:trPr>
          <w:cantSplit/>
        </w:trPr>
        <w:tc>
          <w:tcPr>
            <w:tcW w:type="dxa" w:w="3168"/>
            <w:vAlign w:val="center"/>
          </w:tcPr>
          <w:p>
            <w:r/>
            <w:r>
              <w:rPr>
                <w:b w:val="0"/>
                <w:color w:val="111827"/>
                <w:sz w:val="17"/>
              </w:rPr>
              <w:t>Date of Adoption</w:t>
            </w:r>
          </w:p>
        </w:tc>
        <w:tc>
          <w:tcPr>
            <w:tcW w:type="dxa" w:w="6624"/>
            <w:vAlign w:val="center"/>
          </w:tcPr>
          <w:p>
            <w:r/>
            <w:r>
              <w:rPr>
                <w:b w:val="0"/>
                <w:color w:val="111827"/>
                <w:sz w:val="17"/>
              </w:rPr>
              <w:t>[[DATE]]</w:t>
            </w:r>
          </w:p>
        </w:tc>
      </w:tr>
      <w:tr>
        <w:trPr>
          <w:cantSplit/>
        </w:trPr>
        <w:tc>
          <w:tcPr>
            <w:tcW w:type="dxa" w:w="3168"/>
            <w:vAlign w:val="center"/>
          </w:tcPr>
          <w:p>
            <w:r/>
            <w:r>
              <w:rPr>
                <w:b w:val="0"/>
                <w:color w:val="111827"/>
                <w:sz w:val="17"/>
              </w:rPr>
              <w:t>Adopting Authority</w:t>
            </w:r>
          </w:p>
        </w:tc>
        <w:tc>
          <w:tcPr>
            <w:tcW w:type="dxa" w:w="6624"/>
            <w:vAlign w:val="center"/>
          </w:tcPr>
          <w:p>
            <w:r/>
            <w:r>
              <w:rPr>
                <w:b w:val="0"/>
                <w:color w:val="111827"/>
                <w:sz w:val="17"/>
              </w:rPr>
              <w:t>[[ADOPTING_AUTHORITY]]</w:t>
            </w:r>
          </w:p>
        </w:tc>
      </w:tr>
      <w:tr>
        <w:trPr>
          <w:cantSplit/>
        </w:trPr>
        <w:tc>
          <w:tcPr>
            <w:tcW w:type="dxa" w:w="3168"/>
            <w:vAlign w:val="center"/>
          </w:tcPr>
          <w:p>
            <w:r/>
            <w:r>
              <w:rPr>
                <w:b w:val="0"/>
                <w:color w:val="111827"/>
                <w:sz w:val="17"/>
              </w:rPr>
              <w:t>Ecclesiastical Council Approval</w:t>
            </w:r>
          </w:p>
        </w:tc>
        <w:tc>
          <w:tcPr>
            <w:tcW w:type="dxa" w:w="6624"/>
            <w:vAlign w:val="center"/>
          </w:tcPr>
          <w:p>
            <w:r/>
            <w:r>
              <w:rPr>
                <w:b w:val="0"/>
                <w:color w:val="111827"/>
                <w:sz w:val="17"/>
              </w:rPr>
              <w:t>[[APPROVAL_RECORD]]</w:t>
            </w:r>
          </w:p>
        </w:tc>
      </w:tr>
      <w:tr>
        <w:trPr>
          <w:cantSplit/>
        </w:trPr>
        <w:tc>
          <w:tcPr>
            <w:tcW w:type="dxa" w:w="3168"/>
            <w:vAlign w:val="center"/>
          </w:tcPr>
          <w:p>
            <w:r/>
            <w:r>
              <w:rPr>
                <w:b w:val="0"/>
                <w:color w:val="111827"/>
                <w:sz w:val="17"/>
              </w:rPr>
              <w:t>Version</w:t>
            </w:r>
          </w:p>
        </w:tc>
        <w:tc>
          <w:tcPr>
            <w:tcW w:type="dxa" w:w="6624"/>
            <w:vAlign w:val="center"/>
          </w:tcPr>
          <w:p>
            <w:r/>
            <w:r>
              <w:rPr>
                <w:b w:val="0"/>
                <w:color w:val="111827"/>
                <w:sz w:val="17"/>
              </w:rPr>
              <w:t>0.1.0</w:t>
            </w:r>
          </w:p>
        </w:tc>
      </w:tr>
    </w:tbl>
    <w:p/>
    <w:p>
      <w:pPr>
        <w:keepLines/>
      </w:pPr>
      <w:r>
        <w:t>Certification</w:t>
      </w:r>
    </w:p>
    <w:p>
      <w:pPr>
        <w:keepLines/>
      </w:pPr>
      <w:r>
        <w:t>I certify that the foregoing instrument was duly adopted or approved as stated above and remains in force except as subsequently amended through valid process.</w:t>
      </w:r>
    </w:p>
    <w:p>
      <w:pPr>
        <w:spacing w:before="60" w:after="0"/>
      </w:pPr>
      <w:r>
        <w:rPr>
          <w:sz w:val="17"/>
        </w:rPr>
        <w:br/>
        <w:t>________________________________________</w:t>
        <w:br/>
        <w:t>[[NAME / OFFICE]]</w:t>
        <w:br/>
        <w:t>[[DATE]]</w:t>
      </w:r>
    </w:p>
    <w:sectPr w:rsidR="00FC693F" w:rsidRPr="0006063C" w:rsidSect="00034616">
      <w:headerReference w:type="default" r:id="rId9"/>
      <w:footerReference w:type="default" r:id="rId10"/>
      <w:pgSz w:w="12240" w:h="15840"/>
      <w:pgMar w:top="835" w:right="1037" w:bottom="72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Working Draft | [[CORP_NAME]]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CH-031 | Adult Religious Education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33415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