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48"/>
        </w:rPr>
        <w:t>Youth Religious Education Program</w:t>
      </w:r>
    </w:p>
    <w:p>
      <w:pPr>
        <w:jc w:val="center"/>
      </w:pPr>
      <w:r>
        <w:rPr>
          <w:i/>
          <w:color w:val="475569"/>
          <w:sz w:val="24"/>
        </w:rPr>
        <w:t>Developmentally appropriate religious instruction with safeguarding controls</w:t>
      </w:r>
    </w:p>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2937"/>
            <w:vAlign w:val="center"/>
          </w:tcPr>
          <w:p>
            <w:r/>
            <w:r>
              <w:rPr>
                <w:b/>
                <w:color w:val="FFFFFF"/>
                <w:sz w:val="18"/>
              </w:rPr>
              <w:t>Field</w:t>
            </w:r>
          </w:p>
        </w:tc>
        <w:tc>
          <w:tcPr>
            <w:tcW w:type="dxa" w:w="6912"/>
            <w:shd w:fill="1F2937"/>
            <w:vAlign w:val="center"/>
          </w:tcPr>
          <w:p>
            <w:r/>
            <w:r>
              <w:rPr>
                <w:b/>
                <w:color w:val="FFFFFF"/>
                <w:sz w:val="18"/>
              </w:rPr>
              <w:t>Entry</w:t>
            </w:r>
          </w:p>
        </w:tc>
      </w:tr>
      <w:tr>
        <w:trPr>
          <w:cantSplit/>
        </w:trPr>
        <w:tc>
          <w:tcPr>
            <w:tcW w:type="dxa" w:w="2880"/>
            <w:vAlign w:val="center"/>
          </w:tcPr>
          <w:p>
            <w:r/>
            <w:r>
              <w:rPr>
                <w:b w:val="0"/>
                <w:color w:val="111827"/>
                <w:sz w:val="17"/>
              </w:rPr>
              <w:t>Document ID</w:t>
            </w:r>
          </w:p>
        </w:tc>
        <w:tc>
          <w:tcPr>
            <w:tcW w:type="dxa" w:w="6912"/>
            <w:vAlign w:val="center"/>
          </w:tcPr>
          <w:p>
            <w:r/>
            <w:r>
              <w:rPr>
                <w:b w:val="0"/>
                <w:color w:val="111827"/>
                <w:sz w:val="17"/>
              </w:rPr>
              <w:t>CH-032</w:t>
            </w:r>
          </w:p>
        </w:tc>
      </w:tr>
      <w:tr>
        <w:trPr>
          <w:cantSplit/>
        </w:trPr>
        <w:tc>
          <w:tcPr>
            <w:tcW w:type="dxa" w:w="2880"/>
            <w:vAlign w:val="center"/>
          </w:tcPr>
          <w:p>
            <w:r/>
            <w:r>
              <w:rPr>
                <w:b w:val="0"/>
                <w:color w:val="111827"/>
                <w:sz w:val="17"/>
              </w:rPr>
              <w:t>Version</w:t>
            </w:r>
          </w:p>
        </w:tc>
        <w:tc>
          <w:tcPr>
            <w:tcW w:type="dxa" w:w="6912"/>
            <w:vAlign w:val="center"/>
          </w:tcPr>
          <w:p>
            <w:r/>
            <w:r>
              <w:rPr>
                <w:b w:val="0"/>
                <w:color w:val="111827"/>
                <w:sz w:val="17"/>
              </w:rPr>
              <w:t>0.1.0</w:t>
            </w:r>
          </w:p>
        </w:tc>
      </w:tr>
      <w:tr>
        <w:trPr>
          <w:cantSplit/>
        </w:trPr>
        <w:tc>
          <w:tcPr>
            <w:tcW w:type="dxa" w:w="2880"/>
            <w:vAlign w:val="center"/>
          </w:tcPr>
          <w:p>
            <w:r/>
            <w:r>
              <w:rPr>
                <w:b w:val="0"/>
                <w:color w:val="111827"/>
                <w:sz w:val="17"/>
              </w:rPr>
              <w:t>Status</w:t>
            </w:r>
          </w:p>
        </w:tc>
        <w:tc>
          <w:tcPr>
            <w:tcW w:type="dxa" w:w="6912"/>
            <w:vAlign w:val="center"/>
          </w:tcPr>
          <w:p>
            <w:r/>
            <w:r>
              <w:rPr>
                <w:b w:val="0"/>
                <w:color w:val="111827"/>
                <w:sz w:val="17"/>
              </w:rPr>
              <w:t>Working Draft - Not Effective Until Adopted</w:t>
            </w:r>
          </w:p>
        </w:tc>
      </w:tr>
      <w:tr>
        <w:trPr>
          <w:cantSplit/>
        </w:trPr>
        <w:tc>
          <w:tcPr>
            <w:tcW w:type="dxa" w:w="2880"/>
            <w:vAlign w:val="center"/>
          </w:tcPr>
          <w:p>
            <w:r/>
            <w:r>
              <w:rPr>
                <w:b w:val="0"/>
                <w:color w:val="111827"/>
                <w:sz w:val="17"/>
              </w:rPr>
              <w:t>Corporation / Religious Body</w:t>
            </w:r>
          </w:p>
        </w:tc>
        <w:tc>
          <w:tcPr>
            <w:tcW w:type="dxa" w:w="6912"/>
            <w:vAlign w:val="center"/>
          </w:tcPr>
          <w:p>
            <w:r/>
            <w:r>
              <w:rPr>
                <w:b w:val="0"/>
                <w:color w:val="111827"/>
                <w:sz w:val="17"/>
              </w:rPr>
              <w:t>[[CORP_NAME]]</w:t>
            </w:r>
          </w:p>
        </w:tc>
      </w:tr>
      <w:tr>
        <w:trPr>
          <w:cantSplit/>
        </w:trPr>
        <w:tc>
          <w:tcPr>
            <w:tcW w:type="dxa" w:w="2880"/>
            <w:vAlign w:val="center"/>
          </w:tcPr>
          <w:p>
            <w:r/>
            <w:r>
              <w:rPr>
                <w:b w:val="0"/>
                <w:color w:val="111827"/>
                <w:sz w:val="17"/>
              </w:rPr>
              <w:t>Parent Authority</w:t>
            </w:r>
          </w:p>
        </w:tc>
        <w:tc>
          <w:tcPr>
            <w:tcW w:type="dxa" w:w="6912"/>
            <w:vAlign w:val="center"/>
          </w:tcPr>
          <w:p>
            <w:r/>
            <w:r>
              <w:rPr>
                <w:b w:val="0"/>
                <w:color w:val="111827"/>
                <w:sz w:val="17"/>
              </w:rPr>
              <w:t>REL-CON-001; ECC-CON-001; MIN-001; applicable doctrine and safeguarding instruments</w:t>
            </w:r>
          </w:p>
        </w:tc>
      </w:tr>
      <w:tr>
        <w:trPr>
          <w:cantSplit/>
        </w:trPr>
        <w:tc>
          <w:tcPr>
            <w:tcW w:type="dxa" w:w="2880"/>
            <w:vAlign w:val="center"/>
          </w:tcPr>
          <w:p>
            <w:r/>
            <w:r>
              <w:rPr>
                <w:b w:val="0"/>
                <w:color w:val="111827"/>
                <w:sz w:val="17"/>
              </w:rPr>
              <w:t>Prepared</w:t>
            </w:r>
          </w:p>
        </w:tc>
        <w:tc>
          <w:tcPr>
            <w:tcW w:type="dxa" w:w="6912"/>
            <w:vAlign w:val="center"/>
          </w:tcPr>
          <w:p>
            <w:r/>
            <w:r>
              <w:rPr>
                <w:b w:val="0"/>
                <w:color w:val="111827"/>
                <w:sz w:val="17"/>
              </w:rPr>
              <w:t>September 2026</w:t>
            </w:r>
          </w:p>
        </w:tc>
      </w:tr>
    </w:tbl>
    <w:p/>
    <w:p>
      <w:pPr>
        <w:pStyle w:val="Heading2"/>
        <w:keepNext/>
      </w:pPr>
      <w:r>
        <w:t>Document-Control Notice</w:t>
      </w:r>
    </w:p>
    <w:p>
      <w:r>
        <w:t>This document is a working institutional instrument. Placeholder text in double brackets must be replaced with verified facts before adoption. No draft credential, course completion, ordination, ministry assignment, or educational activity may be represented as having occurred until the underlying act actually occurs and is contemporaneously recorded.</w:t>
      </w:r>
    </w:p>
    <w:p>
      <w:r>
        <w:br w:type="page"/>
      </w:r>
    </w:p>
    <w:p>
      <w:pPr>
        <w:pStyle w:val="Heading1"/>
        <w:keepNext/>
      </w:pPr>
      <w:r>
        <w:t>1. Activation Rule</w:t>
      </w:r>
    </w:p>
    <w:p>
      <w:pPr>
        <w:keepLines/>
      </w:pPr>
      <w:r>
        <w:t>This program becomes operational only when the Religious Body actually offers regularly scheduled religious educational activities for minors. Creating this document does not establish that a youth program presently exists.</w:t>
      </w:r>
    </w:p>
    <w:p>
      <w:pPr>
        <w:pStyle w:val="Heading1"/>
        <w:keepNext/>
      </w:pPr>
      <w:r>
        <w:t>2. Foundational Principles</w:t>
      </w:r>
    </w:p>
    <w:p>
      <w:pPr>
        <w:pStyle w:val="ListBullet"/>
        <w:keepLines/>
      </w:pPr>
      <w:r>
        <w:t>Safety precedes program growth.</w:t>
      </w:r>
    </w:p>
    <w:p>
      <w:pPr>
        <w:pStyle w:val="ListBullet"/>
        <w:keepLines/>
      </w:pPr>
      <w:r>
        <w:t>Parents/guardians receive transparent information about curriculum, supervision, communication, and incident procedures.</w:t>
      </w:r>
    </w:p>
    <w:p>
      <w:pPr>
        <w:pStyle w:val="ListBullet"/>
        <w:keepLines/>
      </w:pPr>
      <w:r>
        <w:t>Age-appropriate inquiry is encouraged; children are not punished for honest questions or uncertainty.</w:t>
      </w:r>
    </w:p>
    <w:p>
      <w:pPr>
        <w:pStyle w:val="ListBullet"/>
        <w:keepLines/>
      </w:pPr>
      <w:r>
        <w:t>No child is told that abuse, unsafe conduct, or unlawful behavior must remain secret for religious reasons.</w:t>
      </w:r>
    </w:p>
    <w:p>
      <w:pPr>
        <w:pStyle w:val="ListBullet"/>
        <w:keepLines/>
      </w:pPr>
      <w:r>
        <w:t>No adult obtains unsupervised access to minors merely because of ordination, founder status, seniority, or parental trust.</w:t>
      </w:r>
    </w:p>
    <w:p>
      <w:pPr>
        <w:pStyle w:val="ListBullet"/>
        <w:keepLines/>
      </w:pPr>
      <w:r>
        <w:t>Religious formation does not substitute for required education, healthcare, or child protection.</w:t>
      </w:r>
    </w:p>
    <w:p>
      <w:pPr>
        <w:pStyle w:val="Heading1"/>
        <w:keepNext/>
      </w:pPr>
      <w:r>
        <w:t>3. Age Bands and Curriculum</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440"/>
            <w:shd w:fill="1F2937"/>
            <w:vAlign w:val="center"/>
          </w:tcPr>
          <w:p>
            <w:r/>
            <w:r>
              <w:rPr>
                <w:b/>
                <w:color w:val="FFFFFF"/>
                <w:sz w:val="18"/>
              </w:rPr>
              <w:t>Band</w:t>
            </w:r>
          </w:p>
        </w:tc>
        <w:tc>
          <w:tcPr>
            <w:tcW w:type="dxa" w:w="1728"/>
            <w:shd w:fill="1F2937"/>
            <w:vAlign w:val="center"/>
          </w:tcPr>
          <w:p>
            <w:r/>
            <w:r>
              <w:rPr>
                <w:b/>
                <w:color w:val="FFFFFF"/>
                <w:sz w:val="18"/>
              </w:rPr>
              <w:t>Approx. Ages</w:t>
            </w:r>
          </w:p>
        </w:tc>
        <w:tc>
          <w:tcPr>
            <w:tcW w:type="dxa" w:w="3456"/>
            <w:shd w:fill="1F2937"/>
            <w:vAlign w:val="center"/>
          </w:tcPr>
          <w:p>
            <w:r/>
            <w:r>
              <w:rPr>
                <w:b/>
                <w:color w:val="FFFFFF"/>
                <w:sz w:val="18"/>
              </w:rPr>
              <w:t>Focus</w:t>
            </w:r>
          </w:p>
        </w:tc>
        <w:tc>
          <w:tcPr>
            <w:tcW w:type="dxa" w:w="4320"/>
            <w:shd w:fill="1F2937"/>
            <w:vAlign w:val="center"/>
          </w:tcPr>
          <w:p>
            <w:r/>
            <w:r>
              <w:rPr>
                <w:b/>
                <w:color w:val="FFFFFF"/>
                <w:sz w:val="18"/>
              </w:rPr>
              <w:t>Example Topics</w:t>
            </w:r>
          </w:p>
        </w:tc>
      </w:tr>
      <w:tr>
        <w:trPr>
          <w:cantSplit/>
        </w:trPr>
        <w:tc>
          <w:tcPr>
            <w:tcW w:type="dxa" w:w="1440"/>
            <w:vAlign w:val="center"/>
          </w:tcPr>
          <w:p>
            <w:r/>
            <w:r>
              <w:rPr>
                <w:b w:val="0"/>
                <w:color w:val="111827"/>
                <w:sz w:val="17"/>
              </w:rPr>
              <w:t>YRE-A</w:t>
            </w:r>
          </w:p>
        </w:tc>
        <w:tc>
          <w:tcPr>
            <w:tcW w:type="dxa" w:w="1728"/>
            <w:vAlign w:val="center"/>
          </w:tcPr>
          <w:p>
            <w:r/>
            <w:r>
              <w:rPr>
                <w:b w:val="0"/>
                <w:color w:val="111827"/>
                <w:sz w:val="17"/>
              </w:rPr>
              <w:t>5-7</w:t>
            </w:r>
          </w:p>
        </w:tc>
        <w:tc>
          <w:tcPr>
            <w:tcW w:type="dxa" w:w="3456"/>
            <w:vAlign w:val="center"/>
          </w:tcPr>
          <w:p>
            <w:r/>
            <w:r>
              <w:rPr>
                <w:b w:val="0"/>
                <w:color w:val="111827"/>
                <w:sz w:val="17"/>
              </w:rPr>
              <w:t>Belonging, wonder, kindness, basic stories and practices</w:t>
            </w:r>
          </w:p>
        </w:tc>
        <w:tc>
          <w:tcPr>
            <w:tcW w:type="dxa" w:w="4320"/>
            <w:vAlign w:val="center"/>
          </w:tcPr>
          <w:p>
            <w:r/>
            <w:r>
              <w:rPr>
                <w:b w:val="0"/>
                <w:color w:val="111827"/>
                <w:sz w:val="17"/>
              </w:rPr>
              <w:t>Gratitude, care, simple prayer/meditation, community, safe adults</w:t>
            </w:r>
          </w:p>
        </w:tc>
      </w:tr>
      <w:tr>
        <w:trPr>
          <w:cantSplit/>
        </w:trPr>
        <w:tc>
          <w:tcPr>
            <w:tcW w:type="dxa" w:w="1440"/>
            <w:vAlign w:val="center"/>
          </w:tcPr>
          <w:p>
            <w:r/>
            <w:r>
              <w:rPr>
                <w:b w:val="0"/>
                <w:color w:val="111827"/>
                <w:sz w:val="17"/>
              </w:rPr>
              <w:t>YRE-B</w:t>
            </w:r>
          </w:p>
        </w:tc>
        <w:tc>
          <w:tcPr>
            <w:tcW w:type="dxa" w:w="1728"/>
            <w:vAlign w:val="center"/>
          </w:tcPr>
          <w:p>
            <w:r/>
            <w:r>
              <w:rPr>
                <w:b w:val="0"/>
                <w:color w:val="111827"/>
                <w:sz w:val="17"/>
              </w:rPr>
              <w:t>8-10</w:t>
            </w:r>
          </w:p>
        </w:tc>
        <w:tc>
          <w:tcPr>
            <w:tcW w:type="dxa" w:w="3456"/>
            <w:vAlign w:val="center"/>
          </w:tcPr>
          <w:p>
            <w:r/>
            <w:r>
              <w:rPr>
                <w:b w:val="0"/>
                <w:color w:val="111827"/>
                <w:sz w:val="17"/>
              </w:rPr>
              <w:t>Stories, world religions, ethical reasoning, basic source awareness</w:t>
            </w:r>
          </w:p>
        </w:tc>
        <w:tc>
          <w:tcPr>
            <w:tcW w:type="dxa" w:w="4320"/>
            <w:vAlign w:val="center"/>
          </w:tcPr>
          <w:p>
            <w:r/>
            <w:r>
              <w:rPr>
                <w:b w:val="0"/>
                <w:color w:val="111827"/>
                <w:sz w:val="17"/>
              </w:rPr>
              <w:t>Prophets/teachers, sacred places, compassion, truthfulness, difference</w:t>
            </w:r>
          </w:p>
        </w:tc>
      </w:tr>
      <w:tr>
        <w:trPr>
          <w:cantSplit/>
        </w:trPr>
        <w:tc>
          <w:tcPr>
            <w:tcW w:type="dxa" w:w="1440"/>
            <w:vAlign w:val="center"/>
          </w:tcPr>
          <w:p>
            <w:r/>
            <w:r>
              <w:rPr>
                <w:b w:val="0"/>
                <w:color w:val="111827"/>
                <w:sz w:val="17"/>
              </w:rPr>
              <w:t>YRE-C</w:t>
            </w:r>
          </w:p>
        </w:tc>
        <w:tc>
          <w:tcPr>
            <w:tcW w:type="dxa" w:w="1728"/>
            <w:vAlign w:val="center"/>
          </w:tcPr>
          <w:p>
            <w:r/>
            <w:r>
              <w:rPr>
                <w:b w:val="0"/>
                <w:color w:val="111827"/>
                <w:sz w:val="17"/>
              </w:rPr>
              <w:t>11-13</w:t>
            </w:r>
          </w:p>
        </w:tc>
        <w:tc>
          <w:tcPr>
            <w:tcW w:type="dxa" w:w="3456"/>
            <w:vAlign w:val="center"/>
          </w:tcPr>
          <w:p>
            <w:r/>
            <w:r>
              <w:rPr>
                <w:b w:val="0"/>
                <w:color w:val="111827"/>
                <w:sz w:val="17"/>
              </w:rPr>
              <w:t>Comparative religion, identity, evidence, conscience, digital/media literacy</w:t>
            </w:r>
          </w:p>
        </w:tc>
        <w:tc>
          <w:tcPr>
            <w:tcW w:type="dxa" w:w="4320"/>
            <w:vAlign w:val="center"/>
          </w:tcPr>
          <w:p>
            <w:r/>
            <w:r>
              <w:rPr>
                <w:b w:val="0"/>
                <w:color w:val="111827"/>
                <w:sz w:val="17"/>
              </w:rPr>
              <w:t>How traditions form, testimony vs evidence, peer pressure, boundaries</w:t>
            </w:r>
          </w:p>
        </w:tc>
      </w:tr>
      <w:tr>
        <w:trPr>
          <w:cantSplit/>
        </w:trPr>
        <w:tc>
          <w:tcPr>
            <w:tcW w:type="dxa" w:w="1440"/>
            <w:vAlign w:val="center"/>
          </w:tcPr>
          <w:p>
            <w:r/>
            <w:r>
              <w:rPr>
                <w:b w:val="0"/>
                <w:color w:val="111827"/>
                <w:sz w:val="17"/>
              </w:rPr>
              <w:t>YRE-D</w:t>
            </w:r>
          </w:p>
        </w:tc>
        <w:tc>
          <w:tcPr>
            <w:tcW w:type="dxa" w:w="1728"/>
            <w:vAlign w:val="center"/>
          </w:tcPr>
          <w:p>
            <w:r/>
            <w:r>
              <w:rPr>
                <w:b w:val="0"/>
                <w:color w:val="111827"/>
                <w:sz w:val="17"/>
              </w:rPr>
              <w:t>14-17</w:t>
            </w:r>
          </w:p>
        </w:tc>
        <w:tc>
          <w:tcPr>
            <w:tcW w:type="dxa" w:w="3456"/>
            <w:vAlign w:val="center"/>
          </w:tcPr>
          <w:p>
            <w:r/>
            <w:r>
              <w:rPr>
                <w:b w:val="0"/>
                <w:color w:val="111827"/>
                <w:sz w:val="17"/>
              </w:rPr>
              <w:t>Advanced inquiry, ethics, philosophy, service, institutional literacy</w:t>
            </w:r>
          </w:p>
        </w:tc>
        <w:tc>
          <w:tcPr>
            <w:tcW w:type="dxa" w:w="4320"/>
            <w:vAlign w:val="center"/>
          </w:tcPr>
          <w:p>
            <w:r/>
            <w:r>
              <w:rPr>
                <w:b w:val="0"/>
                <w:color w:val="111827"/>
                <w:sz w:val="17"/>
              </w:rPr>
              <w:t>Religious experience, historical method, doctrine, governance, abuse prevention, vocation</w:t>
            </w:r>
          </w:p>
        </w:tc>
      </w:tr>
    </w:tbl>
    <w:p/>
    <w:p>
      <w:pPr>
        <w:pStyle w:val="Heading1"/>
        <w:keepNext/>
      </w:pPr>
      <w:r>
        <w:t>4. Safeguarding Requirements Before Launch</w:t>
      </w:r>
    </w:p>
    <w:p>
      <w:pPr>
        <w:pStyle w:val="ListNumber"/>
        <w:keepLines/>
      </w:pPr>
      <w:r>
        <w:t>Adopt and train on the safeguarding framework.</w:t>
      </w:r>
    </w:p>
    <w:p>
      <w:pPr>
        <w:pStyle w:val="ListNumber"/>
        <w:keepLines/>
      </w:pPr>
      <w:r>
        <w:t>Complete legally appropriate screening for adults in covered roles.</w:t>
      </w:r>
    </w:p>
    <w:p>
      <w:pPr>
        <w:pStyle w:val="ListNumber"/>
        <w:keepLines/>
      </w:pPr>
      <w:r>
        <w:t>Establish two-adult/open-environment supervision rules appropriate to context.</w:t>
      </w:r>
    </w:p>
    <w:p>
      <w:pPr>
        <w:pStyle w:val="ListNumber"/>
        <w:keepLines/>
      </w:pPr>
      <w:r>
        <w:t>Create authorized pickup/release and emergency-contact procedures for younger children.</w:t>
      </w:r>
    </w:p>
    <w:p>
      <w:pPr>
        <w:pStyle w:val="ListNumber"/>
        <w:keepLines/>
      </w:pPr>
      <w:r>
        <w:t>Define electronic communication and social-media boundaries.</w:t>
      </w:r>
    </w:p>
    <w:p>
      <w:pPr>
        <w:pStyle w:val="ListNumber"/>
        <w:keepLines/>
      </w:pPr>
      <w:r>
        <w:t>Provide mandatory reporting training where applicable.</w:t>
      </w:r>
    </w:p>
    <w:p>
      <w:pPr>
        <w:pStyle w:val="ListNumber"/>
        <w:keepLines/>
      </w:pPr>
      <w:r>
        <w:t>Establish incident documentation and escalation procedures.</w:t>
      </w:r>
    </w:p>
    <w:p>
      <w:pPr>
        <w:pStyle w:val="ListNumber"/>
        <w:keepLines/>
      </w:pPr>
      <w:r>
        <w:t>Create accessibility and accommodation process.</w:t>
      </w:r>
    </w:p>
    <w:p>
      <w:pPr>
        <w:pStyle w:val="ListNumber"/>
        <w:keepLines/>
      </w:pPr>
      <w:r>
        <w:t>Maintain attendance and authorized-volunteer rosters.</w:t>
      </w:r>
    </w:p>
    <w:p>
      <w:pPr>
        <w:pStyle w:val="ListNumber"/>
        <w:keepLines/>
      </w:pPr>
      <w:r>
        <w:t>Confirm insurance/facility requirements before program use.</w:t>
      </w:r>
    </w:p>
    <w:p>
      <w:pPr>
        <w:pStyle w:val="Heading1"/>
        <w:keepNext/>
      </w:pPr>
      <w:r>
        <w:t>5. Parent / Guardian Information Standard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2937"/>
            <w:vAlign w:val="center"/>
          </w:tcPr>
          <w:p>
            <w:r/>
            <w:r>
              <w:rPr>
                <w:b/>
                <w:color w:val="FFFFFF"/>
                <w:sz w:val="18"/>
              </w:rPr>
              <w:t>Information</w:t>
            </w:r>
          </w:p>
        </w:tc>
        <w:tc>
          <w:tcPr>
            <w:tcW w:type="dxa" w:w="6912"/>
            <w:shd w:fill="1F2937"/>
            <w:vAlign w:val="center"/>
          </w:tcPr>
          <w:p>
            <w:r/>
            <w:r>
              <w:rPr>
                <w:b/>
                <w:color w:val="FFFFFF"/>
                <w:sz w:val="18"/>
              </w:rPr>
              <w:t>Minimum Content</w:t>
            </w:r>
          </w:p>
        </w:tc>
      </w:tr>
      <w:tr>
        <w:trPr>
          <w:cantSplit/>
        </w:trPr>
        <w:tc>
          <w:tcPr>
            <w:tcW w:type="dxa" w:w="2880"/>
            <w:vAlign w:val="center"/>
          </w:tcPr>
          <w:p>
            <w:r/>
            <w:r>
              <w:rPr>
                <w:b w:val="0"/>
                <w:color w:val="111827"/>
                <w:sz w:val="17"/>
              </w:rPr>
              <w:t>Program identity</w:t>
            </w:r>
          </w:p>
        </w:tc>
        <w:tc>
          <w:tcPr>
            <w:tcW w:type="dxa" w:w="6912"/>
            <w:vAlign w:val="center"/>
          </w:tcPr>
          <w:p>
            <w:r/>
            <w:r>
              <w:rPr>
                <w:b w:val="0"/>
                <w:color w:val="111827"/>
                <w:sz w:val="17"/>
              </w:rPr>
              <w:t>Course name, age band, dates/times, location</w:t>
            </w:r>
          </w:p>
        </w:tc>
      </w:tr>
      <w:tr>
        <w:trPr>
          <w:cantSplit/>
        </w:trPr>
        <w:tc>
          <w:tcPr>
            <w:tcW w:type="dxa" w:w="2880"/>
            <w:vAlign w:val="center"/>
          </w:tcPr>
          <w:p>
            <w:r/>
            <w:r>
              <w:rPr>
                <w:b w:val="0"/>
                <w:color w:val="111827"/>
                <w:sz w:val="17"/>
              </w:rPr>
              <w:t>Curriculum</w:t>
            </w:r>
          </w:p>
        </w:tc>
        <w:tc>
          <w:tcPr>
            <w:tcW w:type="dxa" w:w="6912"/>
            <w:vAlign w:val="center"/>
          </w:tcPr>
          <w:p>
            <w:r/>
            <w:r>
              <w:rPr>
                <w:b w:val="0"/>
                <w:color w:val="111827"/>
                <w:sz w:val="17"/>
              </w:rPr>
              <w:t>Topics, materials, religious purpose</w:t>
            </w:r>
          </w:p>
        </w:tc>
      </w:tr>
      <w:tr>
        <w:trPr>
          <w:cantSplit/>
        </w:trPr>
        <w:tc>
          <w:tcPr>
            <w:tcW w:type="dxa" w:w="2880"/>
            <w:vAlign w:val="center"/>
          </w:tcPr>
          <w:p>
            <w:r/>
            <w:r>
              <w:rPr>
                <w:b w:val="0"/>
                <w:color w:val="111827"/>
                <w:sz w:val="17"/>
              </w:rPr>
              <w:t>Staffing</w:t>
            </w:r>
          </w:p>
        </w:tc>
        <w:tc>
          <w:tcPr>
            <w:tcW w:type="dxa" w:w="6912"/>
            <w:vAlign w:val="center"/>
          </w:tcPr>
          <w:p>
            <w:r/>
            <w:r>
              <w:rPr>
                <w:b w:val="0"/>
                <w:color w:val="111827"/>
                <w:sz w:val="17"/>
              </w:rPr>
              <w:t>Lead teacher and supervision model</w:t>
            </w:r>
          </w:p>
        </w:tc>
      </w:tr>
      <w:tr>
        <w:trPr>
          <w:cantSplit/>
        </w:trPr>
        <w:tc>
          <w:tcPr>
            <w:tcW w:type="dxa" w:w="2880"/>
            <w:vAlign w:val="center"/>
          </w:tcPr>
          <w:p>
            <w:r/>
            <w:r>
              <w:rPr>
                <w:b w:val="0"/>
                <w:color w:val="111827"/>
                <w:sz w:val="17"/>
              </w:rPr>
              <w:t>Safeguarding</w:t>
            </w:r>
          </w:p>
        </w:tc>
        <w:tc>
          <w:tcPr>
            <w:tcW w:type="dxa" w:w="6912"/>
            <w:vAlign w:val="center"/>
          </w:tcPr>
          <w:p>
            <w:r/>
            <w:r>
              <w:rPr>
                <w:b w:val="0"/>
                <w:color w:val="111827"/>
                <w:sz w:val="17"/>
              </w:rPr>
              <w:t>Reporting contact, conduct expectations, emergency process</w:t>
            </w:r>
          </w:p>
        </w:tc>
      </w:tr>
      <w:tr>
        <w:trPr>
          <w:cantSplit/>
        </w:trPr>
        <w:tc>
          <w:tcPr>
            <w:tcW w:type="dxa" w:w="2880"/>
            <w:vAlign w:val="center"/>
          </w:tcPr>
          <w:p>
            <w:r/>
            <w:r>
              <w:rPr>
                <w:b w:val="0"/>
                <w:color w:val="111827"/>
                <w:sz w:val="17"/>
              </w:rPr>
              <w:t>Participation</w:t>
            </w:r>
          </w:p>
        </w:tc>
        <w:tc>
          <w:tcPr>
            <w:tcW w:type="dxa" w:w="6912"/>
            <w:vAlign w:val="center"/>
          </w:tcPr>
          <w:p>
            <w:r/>
            <w:r>
              <w:rPr>
                <w:b w:val="0"/>
                <w:color w:val="111827"/>
                <w:sz w:val="17"/>
              </w:rPr>
              <w:t>Attendance, accessibility, behavior expectations</w:t>
            </w:r>
          </w:p>
        </w:tc>
      </w:tr>
      <w:tr>
        <w:trPr>
          <w:cantSplit/>
        </w:trPr>
        <w:tc>
          <w:tcPr>
            <w:tcW w:type="dxa" w:w="2880"/>
            <w:vAlign w:val="center"/>
          </w:tcPr>
          <w:p>
            <w:r/>
            <w:r>
              <w:rPr>
                <w:b w:val="0"/>
                <w:color w:val="111827"/>
                <w:sz w:val="17"/>
              </w:rPr>
              <w:t>Media / privacy</w:t>
            </w:r>
          </w:p>
        </w:tc>
        <w:tc>
          <w:tcPr>
            <w:tcW w:type="dxa" w:w="6912"/>
            <w:vAlign w:val="center"/>
          </w:tcPr>
          <w:p>
            <w:r/>
            <w:r>
              <w:rPr>
                <w:b w:val="0"/>
                <w:color w:val="111827"/>
                <w:sz w:val="17"/>
              </w:rPr>
              <w:t>Photo/video, online-platform, and publication permissions</w:t>
            </w:r>
          </w:p>
        </w:tc>
      </w:tr>
      <w:tr>
        <w:trPr>
          <w:cantSplit/>
        </w:trPr>
        <w:tc>
          <w:tcPr>
            <w:tcW w:type="dxa" w:w="2880"/>
            <w:vAlign w:val="center"/>
          </w:tcPr>
          <w:p>
            <w:r/>
            <w:r>
              <w:rPr>
                <w:b w:val="0"/>
                <w:color w:val="111827"/>
                <w:sz w:val="17"/>
              </w:rPr>
              <w:t>Questions / concerns</w:t>
            </w:r>
          </w:p>
        </w:tc>
        <w:tc>
          <w:tcPr>
            <w:tcW w:type="dxa" w:w="6912"/>
            <w:vAlign w:val="center"/>
          </w:tcPr>
          <w:p>
            <w:r/>
            <w:r>
              <w:rPr>
                <w:b w:val="0"/>
                <w:color w:val="111827"/>
                <w:sz w:val="17"/>
              </w:rPr>
              <w:t>How parent/guardian or youth can raise concerns without retaliation</w:t>
            </w:r>
          </w:p>
        </w:tc>
      </w:tr>
    </w:tbl>
    <w:p/>
    <w:p>
      <w:pPr>
        <w:pStyle w:val="Heading1"/>
        <w:keepNext/>
      </w:pPr>
      <w:r>
        <w:t>6. Youth Voice and Conscience</w:t>
      </w:r>
    </w:p>
    <w:p>
      <w:pPr>
        <w:keepLines/>
      </w:pPr>
      <w:r>
        <w:t>Youth may ask questions, report discomfort, decline nonessential physical contact, and report misconduct directly to a safe adult or external authority where appropriate. No covenant or youth program participation may be used to obstruct a minor's relationship with a safe parent/guardian or lawful protective authority.</w:t>
      </w:r>
    </w:p>
    <w:p>
      <w:pPr>
        <w:pStyle w:val="Heading1"/>
        <w:keepNext/>
      </w:pPr>
      <w:r>
        <w:t>Adoption and Certification</w:t>
      </w:r>
    </w:p>
    <w:p>
      <w:pPr>
        <w:keepLines/>
      </w:pPr>
      <w:r>
        <w:t>This instrument becomes effective only upon valid adoption by the competent ecclesiastical authority. Drafting, circulation, training, or use as a template does not itself constitute adoption.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F2937"/>
            <w:vAlign w:val="center"/>
          </w:tcPr>
          <w:p>
            <w:r/>
            <w:r>
              <w:rPr>
                <w:b/>
                <w:color w:val="FFFFFF"/>
                <w:sz w:val="18"/>
              </w:rPr>
              <w:t>Field</w:t>
            </w:r>
          </w:p>
        </w:tc>
        <w:tc>
          <w:tcPr>
            <w:tcW w:type="dxa" w:w="6624"/>
            <w:shd w:fill="1F2937"/>
            <w:vAlign w:val="center"/>
          </w:tcPr>
          <w:p>
            <w:r/>
            <w:r>
              <w:rPr>
                <w:b/>
                <w:color w:val="FFFFFF"/>
                <w:sz w:val="18"/>
              </w:rPr>
              <w:t>Entry</w:t>
            </w:r>
          </w:p>
        </w:tc>
      </w:tr>
      <w:tr>
        <w:trPr>
          <w:cantSplit/>
        </w:trPr>
        <w:tc>
          <w:tcPr>
            <w:tcW w:type="dxa" w:w="3168"/>
            <w:vAlign w:val="center"/>
          </w:tcPr>
          <w:p>
            <w:r/>
            <w:r>
              <w:rPr>
                <w:b w:val="0"/>
                <w:color w:val="111827"/>
                <w:sz w:val="17"/>
              </w:rPr>
              <w:t>Corporation / Religious Body</w:t>
            </w:r>
          </w:p>
        </w:tc>
        <w:tc>
          <w:tcPr>
            <w:tcW w:type="dxa" w:w="6624"/>
            <w:vAlign w:val="center"/>
          </w:tcPr>
          <w:p>
            <w:r/>
            <w:r>
              <w:rPr>
                <w:b w:val="0"/>
                <w:color w:val="111827"/>
                <w:sz w:val="17"/>
              </w:rPr>
              <w:t>[[CORP_NAME]]</w:t>
            </w:r>
          </w:p>
        </w:tc>
      </w:tr>
      <w:tr>
        <w:trPr>
          <w:cantSplit/>
        </w:trPr>
        <w:tc>
          <w:tcPr>
            <w:tcW w:type="dxa" w:w="3168"/>
            <w:vAlign w:val="center"/>
          </w:tcPr>
          <w:p>
            <w:r/>
            <w:r>
              <w:rPr>
                <w:b w:val="0"/>
                <w:color w:val="111827"/>
                <w:sz w:val="17"/>
              </w:rPr>
              <w:t>Date of Adoption</w:t>
            </w:r>
          </w:p>
        </w:tc>
        <w:tc>
          <w:tcPr>
            <w:tcW w:type="dxa" w:w="6624"/>
            <w:vAlign w:val="center"/>
          </w:tcPr>
          <w:p>
            <w:r/>
            <w:r>
              <w:rPr>
                <w:b w:val="0"/>
                <w:color w:val="111827"/>
                <w:sz w:val="17"/>
              </w:rPr>
              <w:t>[[DATE]]</w:t>
            </w:r>
          </w:p>
        </w:tc>
      </w:tr>
      <w:tr>
        <w:trPr>
          <w:cantSplit/>
        </w:trPr>
        <w:tc>
          <w:tcPr>
            <w:tcW w:type="dxa" w:w="3168"/>
            <w:vAlign w:val="center"/>
          </w:tcPr>
          <w:p>
            <w:r/>
            <w:r>
              <w:rPr>
                <w:b w:val="0"/>
                <w:color w:val="111827"/>
                <w:sz w:val="17"/>
              </w:rPr>
              <w:t>Adopting Authority</w:t>
            </w:r>
          </w:p>
        </w:tc>
        <w:tc>
          <w:tcPr>
            <w:tcW w:type="dxa" w:w="6624"/>
            <w:vAlign w:val="center"/>
          </w:tcPr>
          <w:p>
            <w:r/>
            <w:r>
              <w:rPr>
                <w:b w:val="0"/>
                <w:color w:val="111827"/>
                <w:sz w:val="17"/>
              </w:rPr>
              <w:t>[[ADOPTING_AUTHORITY]]</w:t>
            </w:r>
          </w:p>
        </w:tc>
      </w:tr>
      <w:tr>
        <w:trPr>
          <w:cantSplit/>
        </w:trPr>
        <w:tc>
          <w:tcPr>
            <w:tcW w:type="dxa" w:w="3168"/>
            <w:vAlign w:val="center"/>
          </w:tcPr>
          <w:p>
            <w:r/>
            <w:r>
              <w:rPr>
                <w:b w:val="0"/>
                <w:color w:val="111827"/>
                <w:sz w:val="17"/>
              </w:rPr>
              <w:t>Ecclesiastical Council Approval</w:t>
            </w:r>
          </w:p>
        </w:tc>
        <w:tc>
          <w:tcPr>
            <w:tcW w:type="dxa" w:w="6624"/>
            <w:vAlign w:val="center"/>
          </w:tcPr>
          <w:p>
            <w:r/>
            <w:r>
              <w:rPr>
                <w:b w:val="0"/>
                <w:color w:val="111827"/>
                <w:sz w:val="17"/>
              </w:rPr>
              <w:t>[[APPROVAL_RECORD]]</w:t>
            </w:r>
          </w:p>
        </w:tc>
      </w:tr>
      <w:tr>
        <w:trPr>
          <w:cantSplit/>
        </w:trPr>
        <w:tc>
          <w:tcPr>
            <w:tcW w:type="dxa" w:w="3168"/>
            <w:vAlign w:val="center"/>
          </w:tcPr>
          <w:p>
            <w:r/>
            <w:r>
              <w:rPr>
                <w:b w:val="0"/>
                <w:color w:val="111827"/>
                <w:sz w:val="17"/>
              </w:rPr>
              <w:t>Version</w:t>
            </w:r>
          </w:p>
        </w:tc>
        <w:tc>
          <w:tcPr>
            <w:tcW w:type="dxa" w:w="6624"/>
            <w:vAlign w:val="center"/>
          </w:tcPr>
          <w:p>
            <w:r/>
            <w:r>
              <w:rPr>
                <w:b w:val="0"/>
                <w:color w:val="111827"/>
                <w:sz w:val="17"/>
              </w:rPr>
              <w:t>0.1.0</w:t>
            </w:r>
          </w:p>
        </w:tc>
      </w:tr>
    </w:tbl>
    <w:p/>
    <w:p>
      <w:pPr>
        <w:keepLines/>
      </w:pPr>
      <w:r>
        <w:t>Certification</w:t>
      </w:r>
    </w:p>
    <w:p>
      <w:pPr>
        <w:keepLines/>
      </w:pPr>
      <w:r>
        <w:t>I certify that the foregoing instrument was duly adopted or approved as stated above and remains in force except as subsequently amended through valid process.</w:t>
      </w:r>
    </w:p>
    <w:p>
      <w:r>
        <w:br/>
        <w:t>________________________________________</w:t>
        <w:br/>
        <w:t>[[NAME / OFFICE]]</w:t>
        <w:br/>
        <w:t>[[DATE]]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Working Draft | [[CORP_NAME]]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CH-032 | Youth Religious Education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