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Sanction / Remedy Order</w:t>
      </w:r>
    </w:p>
    <w:p>
      <w:pPr>
        <w:jc w:val="center"/>
      </w:pPr>
      <w:r>
        <w:rPr>
          <w:b/>
          <w:color w:val="1F4E78"/>
        </w:rPr>
        <w:t>DISC-SAN-001 -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DISC-SAN-001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DISC-PROC-001 / DISC-001 / SAFE-001 / ACCOUNT-001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State the operative disciplinary sanction, protective remedy, corrective conditions, monitoring, and review.</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whenever a finding results in discipline, restrictions, remediation, or another institutional remedy.</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Designated disciplinary authority / case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EAC or other competent disciplinary/appeal authority as applicable</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decision findings, monitoring plan, notices, and any separate credential/membership/employment action.</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Share only with persons who require access for safety, due process, legal compliance, or authorized governance.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Restricted case file. Retain under CH-048 and any legal hold; do not destroy serious-case records without authorized review.</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Sanction</w:t>
            </w:r>
            <w:r>
              <w:rPr>
                <w:color w:val="5F5F5F"/>
                <w:sz w:val="15"/>
              </w:rPr>
              <w:br/>
              <w:t>Enter the verified information required for “Sanction”.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Purpose</w:t>
            </w:r>
            <w:r>
              <w:rPr>
                <w:color w:val="5F5F5F"/>
                <w:sz w:val="15"/>
              </w:rPr>
              <w:br/>
              <w:t>State the specific factual/institutional basis. Avoid conclusory or retaliatory language.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Start</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Duration</w:t>
            </w:r>
            <w:r>
              <w:rPr>
                <w:color w:val="5F5F5F"/>
                <w:sz w:val="15"/>
              </w:rPr>
              <w:br/>
              <w:t>Enter the verified information required for “Duration”.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Conditions</w:t>
            </w:r>
            <w:r>
              <w:rPr>
                <w:color w:val="5F5F5F"/>
                <w:sz w:val="15"/>
              </w:rPr>
              <w:br/>
              <w:t>Describe the exact restriction/condition, authority, duration, and review path.</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Monitoring</w:t>
            </w:r>
            <w:r>
              <w:rPr>
                <w:color w:val="5F5F5F"/>
                <w:sz w:val="15"/>
              </w:rPr>
              <w:br/>
              <w:t>Enter the verified information required for “Monitoring”.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Review</w:t>
            </w:r>
            <w:r>
              <w:rPr>
                <w:color w:val="5F5F5F"/>
                <w:sz w:val="15"/>
              </w:rPr>
              <w:br/>
              <w:t>State the review date/body and review standard.</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Separate authority actions</w:t>
            </w:r>
            <w:r>
              <w:rPr>
                <w:color w:val="5F5F5F"/>
                <w:sz w:val="15"/>
              </w:rPr>
              <w:br/>
              <w:t>Enter the verified information required for “Separate authority actions”.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DISC-SAN-001 | Sanction / Remedy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