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Supersession / Correction Record</w:t>
      </w:r>
    </w:p>
    <w:p>
      <w:pPr>
        <w:jc w:val="center"/>
      </w:pPr>
      <w:r>
        <w:rPr>
          <w:b/>
          <w:color w:val="1F4E78"/>
        </w:rPr>
        <w:t>DOC-SUP-001 -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DOC-SUP-001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DOC-OPS-001 / DOC-001 / CH-008 / CH-020</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Document correction, clarification, partial supersession, or full supersession without erasing historical versions.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whenever a doctrinal/teaching item is corrected or replaced.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Doctrine docket administrator / authorized recorder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or other authority assigned by DOC-001</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old and new versions, governing decision, and archive/publication changes.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unless formally published. Respect confidential source material and pastoral/private testimony.</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doctrinal/teaching archive, including superseded versions where institutional history requires preservation.</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Old item</w:t>
            </w:r>
            <w:r>
              <w:rPr>
                <w:color w:val="5F5F5F"/>
                <w:sz w:val="15"/>
              </w:rPr>
              <w:br/>
              <w:t>Enter the verified information required for “Old item”.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New item</w:t>
            </w:r>
            <w:r>
              <w:rPr>
                <w:color w:val="5F5F5F"/>
                <w:sz w:val="15"/>
              </w:rPr>
              <w:br/>
              <w:t>Enter the verified information required for “New item”.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Relationship</w:t>
            </w:r>
            <w:r>
              <w:rPr>
                <w:color w:val="5F5F5F"/>
                <w:sz w:val="15"/>
              </w:rPr>
              <w:br/>
              <w:t>Enter the verified information required for “Relationship”.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Effective date</w:t>
            </w:r>
            <w:r>
              <w:rPr>
                <w:color w:val="5F5F5F"/>
                <w:sz w:val="15"/>
              </w:rPr>
              <w:br/>
              <w:t>Enter the date the action becomes effective.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w:t>
            </w:r>
            <w:r>
              <w:rPr>
                <w:color w:val="5F5F5F"/>
                <w:sz w:val="15"/>
              </w:rPr>
              <w:br/>
              <w:t>State the factual and governing reason; distinguish fact from inference.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Archive action</w:t>
            </w:r>
            <w:r>
              <w:rPr>
                <w:color w:val="5F5F5F"/>
                <w:sz w:val="15"/>
              </w:rPr>
              <w:br/>
              <w:t>Enter the verified information required for “Archive action”.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DOC-SUP-001 | Supersession / Correction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