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Offering / Cash Count Sheet</w:t>
      </w:r>
    </w:p>
    <w:p>
      <w:pPr>
        <w:jc w:val="center"/>
      </w:pPr>
      <w:r>
        <w:rPr>
          <w:b/>
          <w:color w:val="1F4E78"/>
        </w:rPr>
        <w:t>FIN-COUNT-001 -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FIN-COUNT-001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FIN-POL-001 / FIN-001 / CH-038 through CH-044</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a contemporaneous dual-control count and deposit record for physical offerings/cash receipts.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each time physical funds are counted.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Treasurer / finance administrator / authorized requestor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Disinterested approver, Treasurer, Finance Committee, or Civil Board according to authority thresholds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deposit receipt and any variance explanation.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financial record. Limit donor, banking, account, credential, and personal information to authorized users.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Retain with financial records for the applicable CH-048 period; preserve governing approvals, restricted-gift records, and material transactions longer where required.</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Date/service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Counters</w:t>
            </w:r>
            <w:r>
              <w:rPr>
                <w:color w:val="5F5F5F"/>
                <w:sz w:val="15"/>
              </w:rPr>
              <w:br/>
              <w:t>Enter the verified information required for “Counters”.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Cash</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Checks</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Other</w:t>
            </w:r>
            <w:r>
              <w:rPr>
                <w:color w:val="5F5F5F"/>
                <w:sz w:val="15"/>
              </w:rPr>
              <w:br/>
              <w:t>Enter the verified information required for “Other”.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Total</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Deposit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Variance</w:t>
            </w:r>
            <w:r>
              <w:rPr>
                <w:color w:val="5F5F5F"/>
                <w:sz w:val="15"/>
              </w:rPr>
              <w:br/>
              <w:t>Enter the verified information required for “Variance”.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Signatures</w:t>
            </w:r>
            <w:r>
              <w:rPr>
                <w:color w:val="5F5F5F"/>
                <w:sz w:val="15"/>
              </w:rPr>
              <w:br/>
              <w:t>Enter the verified information required for “Signatures”.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FIN-COUNT-001 | Offering / Cash Count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