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Agenda</w:t>
      </w:r>
    </w:p>
    <w:p>
      <w:pPr>
        <w:jc w:val="center"/>
      </w:pPr>
      <w:r>
        <w:rPr>
          <w:b/>
          <w:color w:val="1F4E78"/>
        </w:rPr>
        <w:t>GOV-AGD-001 -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GOV-AGD-001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GOV-FORMS-001 / GOV-PROC-001 / BYL-001 / ECC-CON-001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Structure a meeting so quorum, conflicts, decision items, reports, and confidential business are handled deliberately.</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Prepare before each formal governing meeting.</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Secretary / Recorder / body convener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The acting governing body and any required concurring/review body</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decision papers, reports, proposed resolutions, and prior minutes as appropriate.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Governance record. Mark executive-session or restricted material separately; public release is not automatic.</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governance archive for material notices, decisions, resolutions, emergency actions, validity reviews, and recovery plans.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Call to order</w:t>
            </w:r>
            <w:r>
              <w:rPr>
                <w:color w:val="5F5F5F"/>
                <w:sz w:val="15"/>
              </w:rPr>
              <w:br/>
              <w:t>Enter the verified information required for “Call to order”.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Quorum</w:t>
            </w:r>
            <w:r>
              <w:rPr>
                <w:color w:val="5F5F5F"/>
                <w:sz w:val="15"/>
              </w:rPr>
              <w:br/>
              <w:t>Enter the verified information required for “Quorum”.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Conflict disclosures</w:t>
            </w:r>
            <w:r>
              <w:rPr>
                <w:color w:val="5F5F5F"/>
                <w:sz w:val="15"/>
              </w:rPr>
              <w:br/>
              <w:t>Enter the verified information required for “Conflict disclosures”.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Consent/routine business</w:t>
            </w:r>
            <w:r>
              <w:rPr>
                <w:color w:val="5F5F5F"/>
                <w:sz w:val="15"/>
              </w:rPr>
              <w:br/>
              <w:t>Enter the verified information required for “Consent/routine business”.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Decision items</w:t>
            </w:r>
            <w:r>
              <w:rPr>
                <w:color w:val="5F5F5F"/>
                <w:sz w:val="15"/>
              </w:rPr>
              <w:br/>
              <w:t>Enter the verified information required for “Decision items”.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Reports</w:t>
            </w:r>
            <w:r>
              <w:rPr>
                <w:color w:val="5F5F5F"/>
                <w:sz w:val="15"/>
              </w:rPr>
              <w:br/>
              <w:t>Enter the verified information required for “Reports”.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Executive/confidential session</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Adjournment</w:t>
            </w:r>
            <w:r>
              <w:rPr>
                <w:color w:val="5F5F5F"/>
                <w:sz w:val="15"/>
              </w:rPr>
              <w:br/>
              <w:t>Enter the verified information required for “Adjournment”.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GOV-AGD-001 | Agenda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