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Disaffiliation Implementation Record</w:t>
      </w:r>
    </w:p>
    <w:p>
      <w:pPr>
        <w:jc w:val="center"/>
      </w:pPr>
      <w:r>
        <w:rPr>
          <w:b/>
          <w:color w:val="1F4E78"/>
        </w:rPr>
        <w:t>AFF-DIS-001 -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AFF-DIS-001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Coordinate an orderly disaffiliation while preserving charitable assets, records, member/ministry status, and contractual obligations.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Use once valid authority has approved disaffiliation or termination of affiliation.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governing decisions, asset/property schedule, contract notices, member/ministry communications, and completion evidence.</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Assets</w:t>
            </w:r>
            <w:r>
              <w:rPr>
                <w:color w:val="5F5F5F"/>
                <w:sz w:val="15"/>
              </w:rPr>
              <w:br/>
              <w:t>Enter the verified information required for “Assets”.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Members</w:t>
            </w:r>
            <w:r>
              <w:rPr>
                <w:color w:val="5F5F5F"/>
                <w:sz w:val="15"/>
              </w:rPr>
              <w:br/>
              <w:t>Enter the verified information required for “Members”.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Ministers</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Contracts</w:t>
            </w:r>
            <w:r>
              <w:rPr>
                <w:color w:val="5F5F5F"/>
                <w:sz w:val="15"/>
              </w:rPr>
              <w:br/>
              <w:t>Enter the verified information required for “Contracts”.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Communications</w:t>
            </w:r>
            <w:r>
              <w:rPr>
                <w:color w:val="5F5F5F"/>
                <w:sz w:val="15"/>
              </w:rPr>
              <w:br/>
              <w:t>Enter the verified information required for “Communications”.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Completion</w:t>
            </w:r>
            <w:r>
              <w:rPr>
                <w:color w:val="5F5F5F"/>
                <w:sz w:val="15"/>
              </w:rPr>
              <w:br/>
              <w:t>Enter the verified information required for “Completion”.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AFF-DIS-001 | Disaffiliation Implementation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