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Restoration Decision</w:t>
      </w:r>
    </w:p>
    <w:p>
      <w:pPr>
        <w:jc w:val="center"/>
      </w:pPr>
      <w:r>
        <w:rPr>
          <w:b/>
          <w:color w:val="1F4E78"/>
        </w:rPr>
        <w:t>MIN-REST-F-001 -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MIN-REST-F-001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Determine whether and under what limitations a prior credential/standing may be restored.</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only after a valid restoration application and required remediation/evaluation.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prior decision, remediation records, professional assessments if used, references, and current safeguarding review.</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Minister</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Prior status</w:t>
            </w:r>
            <w:r>
              <w:rPr>
                <w:color w:val="5F5F5F"/>
                <w:sz w:val="15"/>
              </w:rPr>
              <w:br/>
              <w:t>Enter the verified information required for “Prior status”.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Basis for restoration request</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Remediation evidence</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Risk/fitness analysis</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w:t>
            </w:r>
            <w:r>
              <w:rPr>
                <w:color w:val="5F5F5F"/>
                <w:sz w:val="15"/>
              </w:rPr>
              <w:br/>
              <w:t>State the decision, decision-maker, date, and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Restrictions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MIN-REST-F-001 | Restoration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