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Investigation Authorization</w:t>
      </w:r>
    </w:p>
    <w:p>
      <w:pPr>
        <w:jc w:val="center"/>
      </w:pPr>
      <w:r>
        <w:rPr>
          <w:b/>
          <w:color w:val="1F4E78"/>
        </w:rPr>
        <w:t>SAFE-INV-001 -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SAFE-INV-001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SAFE-OPS-001 / SAFE-001 / DISC-001 / ACCOUNT-001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Define who may investigate, what questions may be investigated, what access is authorized, and who will decide the matter.</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before a safeguarding investigation begins beyond emergency evidence preservation.</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Safeguarding intake officer / authorized safeguarding authority</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Safeguarding authority, EAC, or qualified external reviewer depending on severity and conflicts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investigator agreement, conflict disclosure, preservation notice, and scope amendments.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Highly restricted. Disclose only as required for safety, mandatory/legal reporting, due process, insurance/counsel, or authorized institutional action.</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Restricted safeguarding case file. Preserve under CH-048 and any legal hold; serious records should not be destroyed without authorized legal/safeguarding review.</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Case ID</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Investigator</w:t>
            </w:r>
            <w:r>
              <w:rPr>
                <w:color w:val="5F5F5F"/>
                <w:sz w:val="15"/>
              </w:rPr>
              <w:br/>
              <w:t>Enter the verified information required for “Investigator”.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Jurisdiction/questions</w:t>
            </w:r>
            <w:r>
              <w:rPr>
                <w:color w:val="5F5F5F"/>
                <w:sz w:val="15"/>
              </w:rPr>
              <w:br/>
              <w:t>Enter the verified information required for “Jurisdiction/questions”.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Conflicts checked</w:t>
            </w:r>
            <w:r>
              <w:rPr>
                <w:color w:val="5F5F5F"/>
                <w:sz w:val="15"/>
              </w:rPr>
              <w:br/>
              <w:t>Enter the verified information required for “Conflicts checked”.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Records access</w:t>
            </w:r>
            <w:r>
              <w:rPr>
                <w:color w:val="5F5F5F"/>
                <w:sz w:val="15"/>
              </w:rPr>
              <w:br/>
              <w:t>List the source, file, citation, repository path, or attachment reference.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Interview authority</w:t>
            </w:r>
            <w:r>
              <w:rPr>
                <w:color w:val="5F5F5F"/>
                <w:sz w:val="15"/>
              </w:rPr>
              <w:br/>
              <w:t>Enter the verified information required for “Interview authority”.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Confidentiality</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Target report date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Decision body</w:t>
            </w:r>
            <w:r>
              <w:rPr>
                <w:color w:val="5F5F5F"/>
                <w:sz w:val="15"/>
              </w:rPr>
              <w:br/>
              <w:t>Enter the verified information required for “Decision body”.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SAFE-INV-001 | Investigation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