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Succession Conflict Record</w:t>
      </w:r>
    </w:p>
    <w:p>
      <w:pPr>
        <w:jc w:val="center"/>
      </w:pPr>
      <w:r>
        <w:rPr>
          <w:b/>
          <w:color w:val="1F4E78"/>
        </w:rPr>
        <w:t>SUC-COI-001 -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SUC-COI-001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SUCC-OPS-001 / SUCC-001 / ECC-CON-001 / FOUND-TRANS-001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Record conflicts, family interests, promises, financial interests, or other relationships that could distort succession decisions.</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whenever a succession participant has a potential or actual conflict.</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Succession/selection recorder or designated transition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Selection Commission, EC, CMA, CCG, Civil Board, or other authority according to the step involved</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disclosure and governing-body recusal/management decision.</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governance record. Candidate/personnel/conflict details remain restricted unless validly released.</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succession/governance archive, including authority transfers, selection records, and installation records.</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Person</w:t>
            </w:r>
            <w:r>
              <w:rPr>
                <w:color w:val="5F5F5F"/>
                <w:sz w:val="15"/>
              </w:rPr>
              <w:br/>
              <w:t>Enter the full name or stable internal ID; use privacy controls where appropriate.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Relationship/interest</w:t>
            </w:r>
            <w:r>
              <w:rPr>
                <w:color w:val="5F5F5F"/>
                <w:sz w:val="15"/>
              </w:rPr>
              <w:br/>
              <w:t>Enter the verified information required for “Relationship/interest”.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Candidate/matter</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Disclosure</w:t>
            </w:r>
            <w:r>
              <w:rPr>
                <w:color w:val="5F5F5F"/>
                <w:sz w:val="15"/>
              </w:rPr>
              <w:br/>
              <w:t>Enter the verified information required for “Disclosure”.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Recusal/management</w:t>
            </w:r>
            <w:r>
              <w:rPr>
                <w:color w:val="5F5F5F"/>
                <w:sz w:val="15"/>
              </w:rPr>
              <w:br/>
              <w:t>Enter the verified information required for “Recusal/management”.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Decision</w:t>
            </w:r>
            <w:r>
              <w:rPr>
                <w:color w:val="5F5F5F"/>
                <w:sz w:val="15"/>
              </w:rPr>
              <w:br/>
              <w:t>State the decision, decision-maker, date, and record ID.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SUC-COI-001 | Succession Conflict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