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Installation Record</w:t>
      </w:r>
    </w:p>
    <w:p>
      <w:pPr>
        <w:jc w:val="center"/>
      </w:pPr>
      <w:r>
        <w:rPr>
          <w:b/>
          <w:color w:val="1F4E78"/>
        </w:rPr>
        <w:t>SUC-INS-001 -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SUC-INS-001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SUCC-OPS-001 / SUCC-001 / ECC-CON-001 / FOUND-TRANS-001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Create the final authoritative record that a validly selected person has been installed and required civil/credential records have been updated.</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at or immediately after installation.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Succession/selection recorder or designated transition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Selection Commission, EC, CMA, CCG, Civil Board, or other authority according to the step involved</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selection decision, constitutional certification, oath/affirmation, civil action, and registry updates.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Candidate/personnel/conflict details remain restricted unless validly released.</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succession/governance archive, including authority transfers, selection records, and installation records.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Office</w:t>
            </w:r>
            <w:r>
              <w:rPr>
                <w:color w:val="5F5F5F"/>
                <w:sz w:val="15"/>
              </w:rPr>
              <w:br/>
              <w:t>Enter the verified information required for “Office”.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Selectee</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Ecclesiastical approvals</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Civil actions if any</w:t>
            </w:r>
            <w:r>
              <w:rPr>
                <w:color w:val="5F5F5F"/>
                <w:sz w:val="15"/>
              </w:rPr>
              <w:br/>
              <w:t>Enter the verified information required for “Civil actions if any”.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Oath/affirmation</w:t>
            </w:r>
            <w:r>
              <w:rPr>
                <w:color w:val="5F5F5F"/>
                <w:sz w:val="15"/>
              </w:rPr>
              <w:br/>
              <w:t>Enter the verified information required for “Oath/affirmation”.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Installation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Credential/registry updates</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SUC-INS-001 | Installation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