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Interim Appointment</w:t>
      </w:r>
    </w:p>
    <w:p>
      <w:pPr>
        <w:jc w:val="center"/>
      </w:pPr>
      <w:r>
        <w:rPr>
          <w:b/>
          <w:color w:val="1F4E78"/>
        </w:rPr>
        <w:t>SUC-INT-001 -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SUC-INT-001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SUCC-OPS-001 / SUCC-001 / ECC-CON-001 / FOUND-TRANS-001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Define temporary authority narrowly so an interim holder cannot silently acquire permanent powers.</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Use whenever an interim officeholder or temporary governing arrangement is appointed.</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Succession/selection recorder or designated transition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Selection Commission, EC, CMA, CCG, Civil Board, or other authority according to the step involved</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appointment resolution, oath/affirmation if applicable, delegations, and oversight/reporting schedule.</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governance record. Candidate/personnel/conflict details remain restricted unless validly released.</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succession/governance archive, including authority transfers, selection records, and installation records.</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Office</w:t>
            </w:r>
            <w:r>
              <w:rPr>
                <w:color w:val="5F5F5F"/>
                <w:sz w:val="15"/>
              </w:rPr>
              <w:br/>
              <w:t>Enter the verified information required for “Office”.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Interim holder</w:t>
            </w:r>
            <w:r>
              <w:rPr>
                <w:color w:val="5F5F5F"/>
                <w:sz w:val="15"/>
              </w:rPr>
              <w:br/>
              <w:t>Enter the verified information required for “Interim holder”.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Authority</w:t>
            </w:r>
            <w:r>
              <w:rPr>
                <w:color w:val="5F5F5F"/>
                <w:sz w:val="15"/>
              </w:rPr>
              <w:br/>
              <w:t>Cite the governing provision or decision granting authority.</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Scope</w:t>
            </w:r>
            <w:r>
              <w:rPr>
                <w:color w:val="5F5F5F"/>
                <w:sz w:val="15"/>
              </w:rPr>
              <w:br/>
              <w:t>Define what is included and expressly excluded.</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Prohibited actions</w:t>
            </w:r>
            <w:r>
              <w:rPr>
                <w:color w:val="5F5F5F"/>
                <w:sz w:val="15"/>
              </w:rPr>
              <w:br/>
              <w:t>Describe the exact restriction/condition, authority, duration, and review path.</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Start</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Expiration/review</w:t>
            </w:r>
            <w:r>
              <w:rPr>
                <w:color w:val="5F5F5F"/>
                <w:sz w:val="15"/>
              </w:rPr>
              <w:br/>
              <w:t>Enter the verified information required for “Expiration/review”.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Oversight</w:t>
            </w:r>
            <w:r>
              <w:rPr>
                <w:color w:val="5F5F5F"/>
                <w:sz w:val="15"/>
              </w:rPr>
              <w:br/>
              <w:t>Enter the verified information required for “Oversight”.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SUC-INT-001 | Interim Appointment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