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Church Qualification Narrative</w:t>
      </w:r>
    </w:p>
    <w:p>
      <w:pPr>
        <w:jc w:val="center"/>
      </w:pPr>
      <w:r>
        <w:rPr>
          <w:i/>
          <w:color w:val="475569"/>
          <w:sz w:val="23"/>
        </w:rPr>
        <w:t>Provisional facts-and-circumstances narrative for sections 509(a)(1) and 170(b)(1)(A)(i)</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2937"/>
            <w:vAlign w:val="center"/>
          </w:tcPr>
          <w:p>
            <w:r/>
            <w:r>
              <w:rPr>
                <w:rFonts w:ascii="Aptos" w:hAnsi="Aptos"/>
                <w:b/>
                <w:color w:val="FFFFFF"/>
                <w:sz w:val="18"/>
              </w:rPr>
              <w:t>Field</w:t>
            </w:r>
          </w:p>
        </w:tc>
        <w:tc>
          <w:tcPr>
            <w:tcW w:type="dxa" w:w="6912"/>
            <w:shd w:fill="1F2937"/>
            <w:vAlign w:val="center"/>
          </w:tcPr>
          <w:p>
            <w:r/>
            <w:r>
              <w:rPr>
                <w:rFonts w:ascii="Aptos" w:hAnsi="Aptos"/>
                <w:b/>
                <w:color w:val="FFFFFF"/>
                <w:sz w:val="18"/>
              </w:rPr>
              <w:t>Entry</w:t>
            </w:r>
          </w:p>
        </w:tc>
      </w:tr>
      <w:tr>
        <w:trPr>
          <w:cantSplit/>
        </w:trPr>
        <w:tc>
          <w:tcPr>
            <w:tcW w:type="dxa" w:w="2880"/>
            <w:vAlign w:val="center"/>
          </w:tcPr>
          <w:p>
            <w:r/>
            <w:r>
              <w:rPr>
                <w:rFonts w:ascii="Aptos" w:hAnsi="Aptos"/>
                <w:b w:val="0"/>
                <w:color w:val="111827"/>
                <w:sz w:val="17"/>
              </w:rPr>
              <w:t>Document ID</w:t>
            </w:r>
          </w:p>
        </w:tc>
        <w:tc>
          <w:tcPr>
            <w:tcW w:type="dxa" w:w="6912"/>
            <w:vAlign w:val="center"/>
          </w:tcPr>
          <w:p>
            <w:r/>
            <w:r>
              <w:rPr>
                <w:rFonts w:ascii="Aptos" w:hAnsi="Aptos"/>
                <w:b w:val="0"/>
                <w:color w:val="111827"/>
                <w:sz w:val="17"/>
              </w:rPr>
              <w:t>CH-054</w:t>
            </w:r>
          </w:p>
        </w:tc>
      </w:tr>
      <w:tr>
        <w:trPr>
          <w:cantSplit/>
        </w:trPr>
        <w:tc>
          <w:tcPr>
            <w:tcW w:type="dxa" w:w="2880"/>
            <w:vAlign w:val="center"/>
          </w:tcPr>
          <w:p>
            <w:r/>
            <w:r>
              <w:rPr>
                <w:rFonts w:ascii="Aptos" w:hAnsi="Aptos"/>
                <w:b w:val="0"/>
                <w:color w:val="111827"/>
                <w:sz w:val="17"/>
              </w:rPr>
              <w:t>Version</w:t>
            </w:r>
          </w:p>
        </w:tc>
        <w:tc>
          <w:tcPr>
            <w:tcW w:type="dxa" w:w="6912"/>
            <w:vAlign w:val="center"/>
          </w:tcPr>
          <w:p>
            <w:r/>
            <w:r>
              <w:rPr>
                <w:rFonts w:ascii="Aptos" w:hAnsi="Aptos"/>
                <w:b w:val="0"/>
                <w:color w:val="111827"/>
                <w:sz w:val="17"/>
              </w:rPr>
              <w:t>0.1.0</w:t>
            </w:r>
          </w:p>
        </w:tc>
      </w:tr>
      <w:tr>
        <w:trPr>
          <w:cantSplit/>
        </w:trPr>
        <w:tc>
          <w:tcPr>
            <w:tcW w:type="dxa" w:w="2880"/>
            <w:vAlign w:val="center"/>
          </w:tcPr>
          <w:p>
            <w:r/>
            <w:r>
              <w:rPr>
                <w:rFonts w:ascii="Aptos" w:hAnsi="Aptos"/>
                <w:b w:val="0"/>
                <w:color w:val="111827"/>
                <w:sz w:val="17"/>
              </w:rPr>
              <w:t>Status</w:t>
            </w:r>
          </w:p>
        </w:tc>
        <w:tc>
          <w:tcPr>
            <w:tcW w:type="dxa" w:w="6912"/>
            <w:vAlign w:val="center"/>
          </w:tcPr>
          <w:p>
            <w:r/>
            <w:r>
              <w:rPr>
                <w:rFonts w:ascii="Aptos" w:hAnsi="Aptos"/>
                <w:b w:val="0"/>
                <w:color w:val="111827"/>
                <w:sz w:val="17"/>
              </w:rPr>
              <w:t>Working Draft - Not Ready for Submission</w:t>
            </w:r>
          </w:p>
        </w:tc>
      </w:tr>
      <w:tr>
        <w:trPr>
          <w:cantSplit/>
        </w:trPr>
        <w:tc>
          <w:tcPr>
            <w:tcW w:type="dxa" w:w="2880"/>
            <w:vAlign w:val="center"/>
          </w:tcPr>
          <w:p>
            <w:r/>
            <w:r>
              <w:rPr>
                <w:rFonts w:ascii="Aptos" w:hAnsi="Aptos"/>
                <w:b w:val="0"/>
                <w:color w:val="111827"/>
                <w:sz w:val="17"/>
              </w:rPr>
              <w:t>Organization</w:t>
            </w:r>
          </w:p>
        </w:tc>
        <w:tc>
          <w:tcPr>
            <w:tcW w:type="dxa" w:w="6912"/>
            <w:vAlign w:val="center"/>
          </w:tcPr>
          <w:p>
            <w:r/>
            <w:r>
              <w:rPr>
                <w:rFonts w:ascii="Aptos" w:hAnsi="Aptos"/>
                <w:b w:val="0"/>
                <w:color w:val="111827"/>
                <w:sz w:val="17"/>
              </w:rPr>
              <w:t>[[CORP_NAME]]</w:t>
            </w:r>
          </w:p>
        </w:tc>
      </w:tr>
      <w:tr>
        <w:trPr>
          <w:cantSplit/>
        </w:trPr>
        <w:tc>
          <w:tcPr>
            <w:tcW w:type="dxa" w:w="2880"/>
            <w:vAlign w:val="center"/>
          </w:tcPr>
          <w:p>
            <w:r/>
            <w:r>
              <w:rPr>
                <w:rFonts w:ascii="Aptos" w:hAnsi="Aptos"/>
                <w:b w:val="0"/>
                <w:color w:val="111827"/>
                <w:sz w:val="17"/>
              </w:rPr>
              <w:t>EIN</w:t>
            </w:r>
          </w:p>
        </w:tc>
        <w:tc>
          <w:tcPr>
            <w:tcW w:type="dxa" w:w="6912"/>
            <w:vAlign w:val="center"/>
          </w:tcPr>
          <w:p>
            <w:r/>
            <w:r>
              <w:rPr>
                <w:rFonts w:ascii="Aptos" w:hAnsi="Aptos"/>
                <w:b w:val="0"/>
                <w:color w:val="111827"/>
                <w:sz w:val="17"/>
              </w:rPr>
              <w:t>[[EIN]]</w:t>
            </w:r>
          </w:p>
        </w:tc>
      </w:tr>
      <w:tr>
        <w:trPr>
          <w:cantSplit/>
        </w:trPr>
        <w:tc>
          <w:tcPr>
            <w:tcW w:type="dxa" w:w="2880"/>
            <w:vAlign w:val="center"/>
          </w:tcPr>
          <w:p>
            <w:r/>
            <w:r>
              <w:rPr>
                <w:rFonts w:ascii="Aptos" w:hAnsi="Aptos"/>
                <w:b w:val="0"/>
                <w:color w:val="111827"/>
                <w:sz w:val="17"/>
              </w:rPr>
              <w:t>Prepared</w:t>
            </w:r>
          </w:p>
        </w:tc>
        <w:tc>
          <w:tcPr>
            <w:tcW w:type="dxa" w:w="6912"/>
            <w:vAlign w:val="center"/>
          </w:tcPr>
          <w:p>
            <w:r/>
            <w:r>
              <w:rPr>
                <w:rFonts w:ascii="Aptos" w:hAnsi="Aptos"/>
                <w:b w:val="0"/>
                <w:color w:val="111827"/>
                <w:sz w:val="17"/>
              </w:rPr>
              <w:t>September 19, 2026</w:t>
            </w:r>
          </w:p>
        </w:tc>
      </w:tr>
      <w:tr>
        <w:trPr>
          <w:cantSplit/>
        </w:trPr>
        <w:tc>
          <w:tcPr>
            <w:tcW w:type="dxa" w:w="2880"/>
            <w:vAlign w:val="center"/>
          </w:tcPr>
          <w:p>
            <w:r/>
            <w:r>
              <w:rPr>
                <w:rFonts w:ascii="Aptos" w:hAnsi="Aptos"/>
                <w:b w:val="0"/>
                <w:color w:val="111827"/>
                <w:sz w:val="17"/>
              </w:rPr>
              <w:t>Parent / Purpose</w:t>
            </w:r>
          </w:p>
        </w:tc>
        <w:tc>
          <w:tcPr>
            <w:tcW w:type="dxa" w:w="6912"/>
            <w:vAlign w:val="center"/>
          </w:tcPr>
          <w:p>
            <w:r/>
            <w:r>
              <w:rPr>
                <w:rFonts w:ascii="Aptos" w:hAnsi="Aptos"/>
                <w:b w:val="0"/>
                <w:color w:val="111827"/>
                <w:sz w:val="17"/>
              </w:rPr>
              <w:t>Master Church Qualification Record</w:t>
            </w:r>
          </w:p>
        </w:tc>
      </w:tr>
    </w:tbl>
    <w:p/>
    <w:p>
      <w:pPr>
        <w:pStyle w:val="Heading2"/>
        <w:keepNext/>
      </w:pPr>
      <w:r>
        <w:t>Submission-Control Notice</w:t>
      </w:r>
    </w:p>
    <w:p>
      <w:pPr>
        <w:keepLines/>
      </w:pPr>
      <w:r>
        <w:t>This instrument is an internal filing workpaper, not a filed Form 1023 and not legal or tax advice. Double-bracket placeholders must be replaced with verified facts. Any answer concerning current members, attendance, worship, ministers, finances, compensation, facilities, rites, programs, or other operations must come from contemporaneous records. Do not convert a planned activity into a present fact merely to strengthen a church-classification application.</w:t>
      </w:r>
    </w:p>
    <w:p>
      <w:pPr>
        <w:keepLines/>
      </w:pPr>
      <w:r>
        <w:t>Primary IRS baseline: IRS Instructions for Form 1023 (Rev. December 2024; continuous-use for 2024 and later until superseded). The live Pay.gov form controls at the moment of filing and must be rechecked immediately before submission.</w:t>
      </w:r>
    </w:p>
    <w:p>
      <w:r>
        <w:br w:type="page"/>
      </w:r>
    </w:p>
    <w:p>
      <w:pPr>
        <w:pStyle w:val="Heading1"/>
        <w:keepNext/>
      </w:pPr>
      <w:r>
        <w:t>1. Present-State Qualification Statement</w:t>
      </w:r>
    </w:p>
    <w:p>
      <w:pPr>
        <w:keepLines/>
      </w:pPr>
      <w:r>
        <w:t>This narrative is not yet ready for IRS submission. The governing, doctrinal, membership, worship, ministry, financial, and compliance architecture has been extensively drafted, but the facts supplied to date do not establish an actual recurring physical worship location, established congregation, attendance history, adopted membership roster, credentialed ministerial history, or operating financial record. Those are factual matters that documents cannot manufacture.</w:t>
      </w:r>
    </w:p>
    <w:p>
      <w:pPr>
        <w:keepLines/>
      </w:pPr>
      <w:r>
        <w:t>Accordingly, the organization should not presently submit a narrative that states those operational characteristics as accomplished facts. The future filing narrative below is a controlled template showing how the facts should be presented once the records support them.</w:t>
      </w:r>
    </w:p>
    <w:p>
      <w:pPr>
        <w:pStyle w:val="Heading1"/>
        <w:keepNext/>
      </w:pPr>
      <w:r>
        <w:t>2. Future Filing Narrative - Controlled Template</w:t>
      </w:r>
    </w:p>
    <w:p>
      <w:pPr>
        <w:pStyle w:val="Heading2"/>
        <w:keepNext/>
      </w:pPr>
      <w:r>
        <w:t>A. Legal and Organizational Existence</w:t>
      </w:r>
    </w:p>
    <w:p>
      <w:pPr>
        <w:keepLines/>
      </w:pPr>
      <w:r>
        <w:t>[[CORP_NAME]] is a Tennessee nonprofit religious corporation formed on [[FORMATION_DATE]], EIN [[EIN]]. Its certified charter limits it to purposes permitted under section 501(c)(3) and permanently dedicates its assets to exempt purposes upon dissolution. Its civil affairs are governed by adopted bylaws and a Board of Directors, while religious matters are governed through a separate ecclesiastical constitutional order. See Exhibits A-C.</w:t>
      </w:r>
    </w:p>
    <w:p>
      <w:pPr>
        <w:pStyle w:val="Heading2"/>
        <w:keepNext/>
      </w:pPr>
      <w:r>
        <w:t>B. Religious Identity, Beliefs, and History</w:t>
      </w:r>
    </w:p>
    <w:p>
      <w:pPr>
        <w:keepLines/>
      </w:pPr>
      <w:r>
        <w:t>The Religious Body maintains a written statement of beliefs, formal doctrine, a code of religious discipline, and a distinct religious history. Its religious method begins with serious study of claimed human encounters with transcendent reality, distinguishes claimed encounter from later interpretation and institutional development, and develops religious teaching through defined sources and constitutional processes. It expressly distinguishes established fact, inference, tradition, theological interpretation, and unresolved questions rather than treating uncertainty as disloyalty. See Exhibits D-F.</w:t>
      </w:r>
    </w:p>
    <w:p>
      <w:pPr>
        <w:pStyle w:val="Heading2"/>
        <w:keepNext/>
      </w:pPr>
      <w:r>
        <w:t>C. Ecclesiastical Government</w:t>
      </w:r>
    </w:p>
    <w:p>
      <w:pPr>
        <w:keepLines/>
      </w:pPr>
      <w:r>
        <w:t>The religious community operates under a rule-governed conciliar polity. Spiritual leadership is exercised by the Presiding Spiritual Leader within constitutional limits. The Ecclesiastical Council exercises collective authority over doctrine and major religious policy. Constitutional Guardians provide structural review; an Accountability Council provides independent oversight; Covenant Members participate through a defined assembly; and civil fiduciary governance remains vested in the corporate Board. No single leader possesses unrestricted authority over doctrine, discipline, finance, and constitutional interpretation. See Exhibits C and R.</w:t>
      </w:r>
    </w:p>
    <w:p>
      <w:pPr>
        <w:pStyle w:val="Heading2"/>
        <w:keepNext/>
      </w:pPr>
      <w:r>
        <w:t>D. Congregation and Membership</w:t>
      </w:r>
    </w:p>
    <w:p>
      <w:pPr>
        <w:keepLines/>
      </w:pPr>
      <w:r>
        <w:t>As of [[DATE]], the organization has [[MEMBER_COUNT]] current Covenant Members representing [[HOUSEHOLD_COUNT]] households. Covenant Membership is an ecclesiastical relationship and does not create ownership of the corporation. Individuals ordinarily progress through visitor/participant/adherent/candidate stages before voluntary covenant membership. Admission requires [[ACTUAL REQUIREMENTS]]. Member rights include [[ACTUAL RIGHTS]], together with the freedom to withdraw and protections against retaliation or compelled financial contribution. [[DUAL_AFFILIATION_RULE]]. See Exhibits H-I.</w:t>
      </w:r>
    </w:p>
    <w:p>
      <w:pPr>
        <w:pStyle w:val="Heading2"/>
        <w:keepNext/>
      </w:pPr>
      <w:r>
        <w:t>E. Regular Religious Services and Established Place of Worship</w:t>
      </w:r>
    </w:p>
    <w:p>
      <w:pPr>
        <w:keepLines/>
      </w:pPr>
      <w:r>
        <w:t>The congregation meets for regular religious worship every [[DAY]] at [[TIME]] at [[SITE_NAME, ADDRESS]], which the organization [[OWNS / RENTS / USES UNDER AGREEMENT / RECEIVES FREE OF CHARGE]]. Regular services began on [[DATE]]. During the period [[DATE RANGE]], [[SERVICE_COUNT]] regularly scheduled services were held. Average physical attendance was [[AVG_TOTAL]], including an average of [[AVG_MEMBERS]] members and [[AVG_NONMEMBERS]] nonmembers. Synchronous online participation is recorded separately and is not included in physical-attendance figures. See Exhibits G, J-L.</w:t>
      </w:r>
    </w:p>
    <w:p>
      <w:pPr>
        <w:pStyle w:val="Heading2"/>
        <w:keepNext/>
      </w:pPr>
      <w:r>
        <w:t>F. Form of Worship and Rites</w:t>
      </w:r>
    </w:p>
    <w:p>
      <w:pPr>
        <w:keepLines/>
      </w:pPr>
      <w:r>
        <w:t>Regular worship ordinarily includes [[ACTUAL ORDER OF SERVICE]]. These practices further the organization’s religious purposes through communal prayer/contemplation, religious reading, teaching, spiritual formation, shared response, religious rites and observances, service, and fellowship. The Religious Body also conducts [[ACTUAL RITES]], according to its adopted rites manual and ministerial authorization rules. See Exhibits G and M.</w:t>
      </w:r>
    </w:p>
    <w:p>
      <w:pPr>
        <w:pStyle w:val="Heading2"/>
        <w:keepNext/>
      </w:pPr>
      <w:r>
        <w:t>G. Ministers and Prescribed Formation</w:t>
      </w:r>
    </w:p>
    <w:p>
      <w:pPr>
        <w:keepLines/>
      </w:pPr>
      <w:r>
        <w:t>Religious services are led by [[NAMES/TITLES OR AGGREGATE DESCRIPTION]], whose credential standing is recorded in the canonical ministerial registry. The ministry system distinguishes candidacy, commission, licensure, ordination, office, assignment, employment, and corporate authority. Ordination is not obtained by purchase or self-declaration. The ordinary formation standard includes prescribed religious study, personal/spiritual formation, supervised ministry, examinations, safeguarding and character review, conciliar approval, an ordination rite, and continuing accountability. [[DESCRIBE ACTUAL COMPLETION OF CURRENT LEADERS]]. See Exhibits N-O.</w:t>
      </w:r>
    </w:p>
    <w:p>
      <w:pPr>
        <w:pStyle w:val="Heading2"/>
        <w:keepNext/>
      </w:pPr>
      <w:r>
        <w:t>H. Religious Literature and Education</w:t>
      </w:r>
    </w:p>
    <w:p>
      <w:pPr>
        <w:keepLines/>
      </w:pPr>
      <w:r>
        <w:t>The organization maintains a literature of its own consisting of [[ACTUAL PUBLICATIONS/CORPUS]]. Adult religious education is provided through [[ACTUAL PROGRAMS/FREQUENCY]]. Youth religious instruction is [[ACTUAL STATUS]]. Ministerial preparation is conducted through [[ACTUAL FORMATION PROGRAM]], with course, practicum, examination, and standing records maintained contemporaneously. See Exhibits P-Q.</w:t>
      </w:r>
    </w:p>
    <w:p>
      <w:pPr>
        <w:pStyle w:val="Heading2"/>
        <w:keepNext/>
      </w:pPr>
      <w:r>
        <w:t>I. Financial and Institutional Integrity</w:t>
      </w:r>
    </w:p>
    <w:p>
      <w:pPr>
        <w:keepLines/>
      </w:pPr>
      <w:r>
        <w:t>The organization uses institutional accounts and accounting records, maintains financial controls and contribution procedures, tracks restrictions, documents related-party transactions, and requires disinterested review of compensation and conflicts of interest. Its policies prohibit private inurement and impermissible private benefit, prohibit institutional participation or intervention in candidate campaigns, and limit lobbying activities consistent with section 501(c)(3). See Exhibits T-W.</w:t>
      </w:r>
    </w:p>
    <w:p>
      <w:pPr>
        <w:pStyle w:val="Heading2"/>
        <w:keepNext/>
      </w:pPr>
      <w:r>
        <w:t>J. Hybrid and Online Ministry</w:t>
      </w:r>
    </w:p>
    <w:p>
      <w:pPr>
        <w:keepLines/>
      </w:pPr>
      <w:r>
        <w:t>The organization may livestream or otherwise make religious services and teaching available online. Online ministry extends access but is not used to inflate physical congregational attendance. Physical attendance, synchronous remote participation, and later media views are recorded as different categories. The church-classification claim rests on the actual congregation and its regular communal religious life at the established location, together with the organization’s broader facts and circumstances.</w:t>
      </w:r>
    </w:p>
    <w:p>
      <w:pPr>
        <w:pStyle w:val="Heading2"/>
        <w:keepNext/>
      </w:pPr>
      <w:r>
        <w:t>K. Church Characteristics and Overall Facts and Circumstances</w:t>
      </w:r>
    </w:p>
    <w:p>
      <w:pPr>
        <w:keepLines/>
      </w:pPr>
      <w:r>
        <w:t>The organization’s church-classification case does not depend on any one label or document. It rests on the combination of its distinct legal existence, recognized beliefs and worship, definite ecclesiastical government, doctrine and discipline, religious history, membership system, ministerial organization and formation, literature, place of worship, regular congregation, regular services, religious education where actually offered, and preparation of ministers. CH-053 identifies the evidence supporting each characteristic and also identifies any characteristic that is absent or still developing rather than concealing it.</w:t>
      </w:r>
    </w:p>
    <w:p>
      <w:pPr>
        <w:pStyle w:val="Heading1"/>
        <w:keepNext/>
      </w:pPr>
      <w:r>
        <w:t>3. Filing Conclusion Template</w:t>
      </w:r>
    </w:p>
    <w:p>
      <w:pPr>
        <w:keepLines/>
      </w:pPr>
      <w:r>
        <w:t>When, and only when, the placeholders above can be replaced with supported facts, the intended conclusion is: Based on the foregoing facts and the accompanying evidence, [[CORP_NAME]] respectfully requests recognition as an organization described in section 501(c)(3) and classification as a public charity under sections 509(a)(1) and 170(b)(1)(A)(i) as a church. The organization recognizes that church classification is determined from the overall facts and circumstances and submits the accompanying Schedule A responses and exhibits for that determination.</w:t>
      </w:r>
    </w:p>
    <w:p>
      <w:pPr>
        <w:pStyle w:val="Heading1"/>
        <w:keepNext/>
      </w:pPr>
      <w:r>
        <w:t>4. Alternative If Congregational Facts Are Not Yet Established</w:t>
      </w:r>
    </w:p>
    <w:p>
      <w:pPr>
        <w:keepLines/>
      </w:pPr>
      <w:r>
        <w:t>If, at filing time, the organization remains a sincere religious organization but does not yet possess an established congregation or other regular religious membership group, the application should not convert planned congregation-building into a present fact. The organization should reassess the requested public-charity classification and, if appropriate, pursue later church classification after the congregation is established.</w:t>
      </w:r>
    </w:p>
    <w:p>
      <w:pPr>
        <w:pStyle w:val="Heading1"/>
        <w:keepNext/>
      </w:pPr>
      <w:r>
        <w:t>5. Final Narrative Certification Checklist</w:t>
      </w:r>
    </w:p>
    <w:p>
      <w:pPr>
        <w:pStyle w:val="ListNumber"/>
        <w:keepLines/>
      </w:pPr>
      <w:r>
        <w:t>Every present-tense assertion is supported by a contemporaneous record.</w:t>
      </w:r>
    </w:p>
    <w:p>
      <w:pPr>
        <w:pStyle w:val="ListNumber"/>
        <w:keepLines/>
      </w:pPr>
      <w:r>
        <w:t>Every planned activity is clearly described as planned.</w:t>
      </w:r>
    </w:p>
    <w:p>
      <w:pPr>
        <w:pStyle w:val="ListNumber"/>
        <w:keepLines/>
      </w:pPr>
      <w:r>
        <w:t>Member and attendance numbers reconcile to the registers.</w:t>
      </w:r>
    </w:p>
    <w:p>
      <w:pPr>
        <w:pStyle w:val="ListNumber"/>
        <w:keepLines/>
      </w:pPr>
      <w:r>
        <w:t>Service days/times and location match public communications and site agreements.</w:t>
      </w:r>
    </w:p>
    <w:p>
      <w:pPr>
        <w:pStyle w:val="ListNumber"/>
        <w:keepLines/>
      </w:pPr>
      <w:r>
        <w:t>Ministerial claims reconcile to the credential registry and course/practicum records.</w:t>
      </w:r>
    </w:p>
    <w:p>
      <w:pPr>
        <w:pStyle w:val="ListNumber"/>
        <w:keepLines/>
      </w:pPr>
      <w:r>
        <w:t>Financial claims reconcile to the ledger, budget, statements, and compensation approvals.</w:t>
      </w:r>
    </w:p>
    <w:p>
      <w:pPr>
        <w:pStyle w:val="ListNumber"/>
        <w:keepLines/>
      </w:pPr>
      <w:r>
        <w:t>No online audience metric is presented as physical congregational attendance.</w:t>
      </w:r>
    </w:p>
    <w:p>
      <w:pPr>
        <w:pStyle w:val="ListNumber"/>
        <w:keepLines/>
      </w:pPr>
      <w:r>
        <w:t>No sensitive or unnecessary personal information is included in the public filing.</w:t>
      </w:r>
    </w:p>
    <w:p>
      <w:pPr>
        <w:pStyle w:val="ListNumber"/>
        <w:keepLines/>
      </w:pPr>
      <w:r>
        <w:t>The final narrative is consistent with the live Pay.gov answers and all attachments.</w:t>
      </w:r>
    </w:p>
    <w:p>
      <w:pPr>
        <w:pStyle w:val="Heading1"/>
        <w:keepNext/>
      </w:pPr>
      <w:r>
        <w:t>Current IRS References</w:t>
      </w:r>
    </w:p>
    <w:p>
      <w:pPr>
        <w:pStyle w:val="ListBullet"/>
        <w:keepLines/>
      </w:pPr>
      <w:r>
        <w:t>Instructions for Form 1023, Rev. December 2024 (continuous-use instructions for 2024 and later until superseded).</w:t>
      </w:r>
    </w:p>
    <w:p>
      <w:pPr>
        <w:pStyle w:val="ListBullet"/>
        <w:keepLines/>
      </w:pPr>
      <w:r>
        <w:t>Form 1023 and Form 1023-EZ: Amount of User Fee - current Form 1023 fee listed by IRS as $600 as of this draft date.</w:t>
      </w:r>
    </w:p>
    <w:p>
      <w:pPr>
        <w:pStyle w:val="ListBullet"/>
        <w:keepLines/>
      </w:pPr>
      <w:r>
        <w:t>Current IRS Form 1023 / Pay.gov filing process - electronic submission only.</w:t>
      </w:r>
    </w:p>
    <w:p>
      <w:pPr>
        <w:pStyle w:val="ListBullet"/>
        <w:keepLines/>
      </w:pPr>
      <w:r>
        <w:t>Publication 1828 - Tax Guide for Churches and Religious Organizations.</w:t>
      </w:r>
    </w:p>
    <w:p>
      <w:pPr>
        <w:pStyle w:val="ListBullet"/>
        <w:keepLines/>
      </w:pPr>
      <w:r>
        <w:t>Form 8940 instructions - later request for church classification where appropriate.</w:t>
      </w:r>
    </w:p>
    <w:p>
      <w:pPr>
        <w:keepLines/>
      </w:pPr>
      <w:r>
        <w:t>The IRS currently states that Pay.gov accepts only one uploaded attachment file and that the consolidated PDF may not exceed 15 MB. Each supplemental-response page should identify the organization name, EIN, and the relevant Part/line.</w:t>
      </w:r>
    </w:p>
    <w:p>
      <w:pPr>
        <w:pStyle w:val="Heading1"/>
        <w:keepNext/>
      </w:pPr>
      <w:r>
        <w:t>Workpaper Approval</w:t>
      </w:r>
    </w:p>
    <w:p>
      <w:pPr>
        <w:keepLines/>
      </w:pPr>
      <w:r>
        <w:t>This workpaper may be approved for internal filing preparation but shall not be treated as authorization to submit Form 1023. Final submission requires a separate governing-body authorization after all blockers are resolved and the live Pay.gov application is reviewed in full.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F2937"/>
            <w:vAlign w:val="center"/>
          </w:tcPr>
          <w:p>
            <w:r/>
            <w:r>
              <w:rPr>
                <w:rFonts w:ascii="Aptos" w:hAnsi="Aptos"/>
                <w:b/>
                <w:color w:val="FFFFFF"/>
                <w:sz w:val="18"/>
              </w:rPr>
              <w:t>Field</w:t>
            </w:r>
          </w:p>
        </w:tc>
        <w:tc>
          <w:tcPr>
            <w:tcW w:type="dxa" w:w="6624"/>
            <w:shd w:fill="1F2937"/>
            <w:vAlign w:val="center"/>
          </w:tcPr>
          <w:p>
            <w:r/>
            <w:r>
              <w:rPr>
                <w:rFonts w:ascii="Aptos" w:hAnsi="Aptos"/>
                <w:b/>
                <w:color w:val="FFFFFF"/>
                <w:sz w:val="18"/>
              </w:rPr>
              <w:t>Entry</w:t>
            </w:r>
          </w:p>
        </w:tc>
      </w:tr>
      <w:tr>
        <w:trPr>
          <w:cantSplit/>
        </w:trPr>
        <w:tc>
          <w:tcPr>
            <w:tcW w:type="dxa" w:w="3168"/>
            <w:vAlign w:val="center"/>
          </w:tcPr>
          <w:p>
            <w:r/>
            <w:r>
              <w:rPr>
                <w:rFonts w:ascii="Aptos" w:hAnsi="Aptos"/>
                <w:b w:val="0"/>
                <w:color w:val="111827"/>
                <w:sz w:val="17"/>
              </w:rPr>
              <w:t>Internal Approval Date</w:t>
            </w:r>
          </w:p>
        </w:tc>
        <w:tc>
          <w:tcPr>
            <w:tcW w:type="dxa" w:w="6624"/>
            <w:vAlign w:val="center"/>
          </w:tcPr>
          <w:p>
            <w:r/>
            <w:r>
              <w:rPr>
                <w:rFonts w:ascii="Aptos" w:hAnsi="Aptos"/>
                <w:b w:val="0"/>
                <w:color w:val="111827"/>
                <w:sz w:val="17"/>
              </w:rPr>
              <w:t>[[DATE]]</w:t>
            </w:r>
          </w:p>
        </w:tc>
      </w:tr>
      <w:tr>
        <w:trPr>
          <w:cantSplit/>
        </w:trPr>
        <w:tc>
          <w:tcPr>
            <w:tcW w:type="dxa" w:w="3168"/>
            <w:vAlign w:val="center"/>
          </w:tcPr>
          <w:p>
            <w:r/>
            <w:r>
              <w:rPr>
                <w:rFonts w:ascii="Aptos" w:hAnsi="Aptos"/>
                <w:b w:val="0"/>
                <w:color w:val="111827"/>
                <w:sz w:val="17"/>
              </w:rPr>
              <w:t>Approved By</w:t>
            </w:r>
          </w:p>
        </w:tc>
        <w:tc>
          <w:tcPr>
            <w:tcW w:type="dxa" w:w="6624"/>
            <w:vAlign w:val="center"/>
          </w:tcPr>
          <w:p>
            <w:r/>
            <w:r>
              <w:rPr>
                <w:rFonts w:ascii="Aptos" w:hAnsi="Aptos"/>
                <w:b w:val="0"/>
                <w:color w:val="111827"/>
                <w:sz w:val="17"/>
              </w:rPr>
              <w:t>[[BODY / OFFICER]]</w:t>
            </w:r>
          </w:p>
        </w:tc>
      </w:tr>
      <w:tr>
        <w:trPr>
          <w:cantSplit/>
        </w:trPr>
        <w:tc>
          <w:tcPr>
            <w:tcW w:type="dxa" w:w="3168"/>
            <w:vAlign w:val="center"/>
          </w:tcPr>
          <w:p>
            <w:r/>
            <w:r>
              <w:rPr>
                <w:rFonts w:ascii="Aptos" w:hAnsi="Aptos"/>
                <w:b w:val="0"/>
                <w:color w:val="111827"/>
                <w:sz w:val="17"/>
              </w:rPr>
              <w:t>Final Filing Authorized?</w:t>
            </w:r>
          </w:p>
        </w:tc>
        <w:tc>
          <w:tcPr>
            <w:tcW w:type="dxa" w:w="6624"/>
            <w:vAlign w:val="center"/>
          </w:tcPr>
          <w:p>
            <w:r/>
            <w:r>
              <w:rPr>
                <w:rFonts w:ascii="Aptos" w:hAnsi="Aptos"/>
                <w:b w:val="0"/>
                <w:color w:val="111827"/>
                <w:sz w:val="17"/>
              </w:rPr>
              <w:t>NO - separate authorization required</w:t>
            </w:r>
          </w:p>
        </w:tc>
      </w:tr>
      <w:tr>
        <w:trPr>
          <w:cantSplit/>
        </w:trPr>
        <w:tc>
          <w:tcPr>
            <w:tcW w:type="dxa" w:w="3168"/>
            <w:vAlign w:val="center"/>
          </w:tcPr>
          <w:p>
            <w:r/>
            <w:r>
              <w:rPr>
                <w:rFonts w:ascii="Aptos" w:hAnsi="Aptos"/>
                <w:b w:val="0"/>
                <w:color w:val="111827"/>
                <w:sz w:val="17"/>
              </w:rPr>
              <w:t>Version</w:t>
            </w:r>
          </w:p>
        </w:tc>
        <w:tc>
          <w:tcPr>
            <w:tcW w:type="dxa" w:w="6624"/>
            <w:vAlign w:val="center"/>
          </w:tcPr>
          <w:p>
            <w:r/>
            <w:r>
              <w:rPr>
                <w:rFonts w:ascii="Aptos" w:hAnsi="Aptos"/>
                <w:b w:val="0"/>
                <w:color w:val="111827"/>
                <w:sz w:val="17"/>
              </w:rPr>
              <w:t>0.1.0</w:t>
            </w:r>
          </w:p>
        </w:tc>
      </w:tr>
    </w:tbl>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Working Draft - NOT FOR IRS SUBMISSION | [[CORP_NAME]] | EIN [[EIN]]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CH-054 | Church Qualification Narrative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