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Institutional Integrity &amp; Anti-Coercion Framework</w:t>
      </w:r>
    </w:p>
    <w:p>
      <w:pPr>
        <w:jc w:val="center"/>
      </w:pPr>
      <w:r>
        <w:rPr>
          <w:i/>
          <w:sz w:val="24"/>
        </w:rPr>
        <w:t>Constitutional Safeguards • Member Rights • Governance Controls • Safeguarding • Accountability</w:t>
      </w:r>
    </w:p>
    <w:p/>
    <w:p/>
    <w:p/>
    <w:p>
      <w:pPr>
        <w:jc w:val="center"/>
      </w:pPr>
      <w:r>
        <w:rPr>
          <w:sz w:val="24"/>
        </w:rPr>
        <w:t>0.1 - Founding Draft</w:t>
        <w:br/>
        <w:t>September 18, 2026</w:t>
        <w:br/>
        <w:t>[[ORGANIZATION_NAME]]</w:t>
      </w:r>
    </w:p>
    <w:p/>
    <w:p/>
    <w:p/>
    <w:p/>
    <w:p>
      <w:pPr>
        <w:pStyle w:val="SmallNote"/>
        <w:jc w:val="center"/>
      </w:pPr>
      <w:r>
        <w:rPr>
          <w:b/>
        </w:rPr>
        <w:t>FOUNDING DRAFT — FOR GOVERNANCE DESIGN AND QUALIFIED LEGAL REVIEW BEFORE FORMAL ADOPTION</w:t>
      </w:r>
    </w:p>
    <w:p>
      <w:r>
        <w:br w:type="page"/>
      </w:r>
    </w:p>
    <w:p>
      <w:pPr>
        <w:pStyle w:val="Heading1"/>
      </w:pPr>
      <w:r>
        <w:t>Purpose and Status</w:t>
      </w:r>
    </w:p>
    <w:p>
      <w:r>
        <w:t>This framework is designed for a new religious organization that intends to remain open to inquiry while making coercive control, leader absolutism, financial exploitation, spiritual abuse, concealment, retaliatory discipline, and social isolation structurally difficult to develop. It is written as a governance instrument, not a public-relations statement. The central test is not whether outsiders use a particular label; it is whether the institution preserves conscience, consent, due process, independent oversight, transparency, and safe exit in practice.</w:t>
      </w:r>
    </w:p>
    <w:p>
      <w:r>
        <w:t>This is a founding draft for organizational adoption and legal review. It should be conformed to the organization's charter, bylaws, theology, insurance requirements, employment practices, and applicable law by qualified Tennessee nonprofit counsel before final adoption. Where this framework sets a higher standard than law, the higher internal standard is intended to govern unless unlawful or impossible to administer.</w:t>
      </w:r>
    </w:p>
    <w:p>
      <w:pPr>
        <w:pStyle w:val="Heading1"/>
      </w:pPr>
      <w:r>
        <w:t>Foundational Rule</w:t>
      </w:r>
    </w:p>
    <w:p>
      <w:pPr>
        <w:ind w:left="504" w:right="504"/>
      </w:pPr>
      <w:r>
        <w:rPr>
          <w:b/>
          <w:sz w:val="24"/>
        </w:rPr>
        <w:t>No human being, office, council, text, claimed revelation, tradition, or institution possesses authority to compel another person’s conscience.</w:t>
      </w:r>
    </w:p>
    <w:p>
      <w:pPr>
        <w:pStyle w:val="Heading1"/>
      </w:pPr>
      <w:r>
        <w:t>Document Hierarchy</w:t>
      </w:r>
    </w:p>
    <w:p>
      <w:r>
        <w:t>Applicable law and charter → entrenched constitutional protections → bylaws → board policies → management procedures → local practices. Lower-level instruments may add protections but may not reduce higher-level rights.</w:t>
      </w:r>
    </w:p>
    <w:p>
      <w:pPr>
        <w:pStyle w:val="Heading1"/>
      </w:pPr>
      <w:r>
        <w:t>Contents</w:t>
      </w:r>
    </w:p>
    <w:p>
      <w:pPr>
        <w:pStyle w:val="ListBullet"/>
      </w:pPr>
      <w:r>
        <w:t>Article I. Constitutional Principles</w:t>
      </w:r>
    </w:p>
    <w:p>
      <w:pPr>
        <w:pStyle w:val="ListBullet"/>
      </w:pPr>
      <w:r>
        <w:t>Article II. Member and Participant Bill of Rights</w:t>
      </w:r>
    </w:p>
    <w:p>
      <w:pPr>
        <w:pStyle w:val="ListBullet"/>
      </w:pPr>
      <w:r>
        <w:t>Article III. Founder and Leadership Limitations</w:t>
      </w:r>
    </w:p>
    <w:p>
      <w:pPr>
        <w:pStyle w:val="ListBullet"/>
      </w:pPr>
      <w:r>
        <w:t>Article IV. Governing Board Independence</w:t>
      </w:r>
    </w:p>
    <w:p>
      <w:pPr>
        <w:pStyle w:val="ListBullet"/>
      </w:pPr>
      <w:r>
        <w:t>Article V. Freedom of Conscience and Anti-Coercion Covenant</w:t>
      </w:r>
    </w:p>
    <w:p>
      <w:pPr>
        <w:pStyle w:val="ListBullet"/>
      </w:pPr>
      <w:r>
        <w:t>Article VI. Epistemic Integrity, Revelation, and Doctrine</w:t>
      </w:r>
    </w:p>
    <w:p>
      <w:pPr>
        <w:pStyle w:val="ListBullet"/>
      </w:pPr>
      <w:r>
        <w:t>Article VII. Financial Integrity and Stewardship</w:t>
      </w:r>
    </w:p>
    <w:p>
      <w:pPr>
        <w:pStyle w:val="ListBullet"/>
      </w:pPr>
      <w:r>
        <w:t>Article VIII. Safeguarding Children and Vulnerable Persons</w:t>
      </w:r>
    </w:p>
    <w:p>
      <w:pPr>
        <w:pStyle w:val="ListBullet"/>
      </w:pPr>
      <w:r>
        <w:t>Article IX. Pastoral and Spiritual-Care Ethics</w:t>
      </w:r>
    </w:p>
    <w:p>
      <w:pPr>
        <w:pStyle w:val="ListBullet"/>
      </w:pPr>
      <w:r>
        <w:t>Article X. Complaints, Whistleblowing, and Non-Retaliation</w:t>
      </w:r>
    </w:p>
    <w:p>
      <w:pPr>
        <w:pStyle w:val="ListBullet"/>
      </w:pPr>
      <w:r>
        <w:t>Article XI. Independent Investigation Protocol</w:t>
      </w:r>
    </w:p>
    <w:p>
      <w:pPr>
        <w:pStyle w:val="ListBullet"/>
      </w:pPr>
      <w:r>
        <w:t>Article XII. Discipline, Removal, and Appeals</w:t>
      </w:r>
    </w:p>
    <w:p>
      <w:pPr>
        <w:pStyle w:val="ListBullet"/>
      </w:pPr>
      <w:r>
        <w:t>Article XIII. Exit, Disaffiliation, and Former-Member Relations</w:t>
      </w:r>
    </w:p>
    <w:p>
      <w:pPr>
        <w:pStyle w:val="ListBullet"/>
      </w:pPr>
      <w:r>
        <w:t>Article XIV. Housing, Employment, Education, and Community Separation</w:t>
      </w:r>
    </w:p>
    <w:p>
      <w:pPr>
        <w:pStyle w:val="ListBullet"/>
      </w:pPr>
      <w:r>
        <w:t>Article XV. Transparency and Public Accountability</w:t>
      </w:r>
    </w:p>
    <w:p>
      <w:pPr>
        <w:pStyle w:val="ListBullet"/>
      </w:pPr>
      <w:r>
        <w:t>Article XVI. External Institutional Integrity Review</w:t>
      </w:r>
    </w:p>
    <w:p>
      <w:pPr>
        <w:pStyle w:val="ListBullet"/>
      </w:pPr>
      <w:r>
        <w:t>Article XVII. Entrenchment and Amendment</w:t>
      </w:r>
    </w:p>
    <w:p>
      <w:pPr>
        <w:pStyle w:val="ListBullet"/>
      </w:pPr>
      <w:r>
        <w:t>Article XVIII. Implementation, Measurement, and Enforcement</w:t>
      </w:r>
    </w:p>
    <w:p>
      <w:pPr>
        <w:pStyle w:val="ListBullet"/>
      </w:pPr>
      <w:r>
        <w:t>Amendment Tiers</w:t>
      </w:r>
    </w:p>
    <w:p>
      <w:pPr>
        <w:pStyle w:val="ListBullet"/>
      </w:pPr>
      <w:r>
        <w:t>Separation-of-Powers Matrix</w:t>
      </w:r>
    </w:p>
    <w:p>
      <w:pPr>
        <w:pStyle w:val="ListBullet"/>
      </w:pPr>
      <w:r>
        <w:t>High-Control Risk Early-Warning Matrix</w:t>
      </w:r>
    </w:p>
    <w:p>
      <w:pPr>
        <w:pStyle w:val="ListBullet"/>
      </w:pPr>
      <w:r>
        <w:t>Adoption Roadmap</w:t>
      </w:r>
    </w:p>
    <w:p>
      <w:pPr>
        <w:pStyle w:val="ListBullet"/>
      </w:pPr>
      <w:r>
        <w:t>Board Adoption Resolution</w:t>
      </w:r>
    </w:p>
    <w:p>
      <w:pPr>
        <w:pStyle w:val="ListBullet"/>
      </w:pPr>
      <w:r>
        <w:t>Sources and Legal Review Notes</w:t>
      </w:r>
    </w:p>
    <w:p>
      <w:r>
        <w:br w:type="page"/>
      </w:r>
    </w:p>
    <w:p>
      <w:pPr>
        <w:pStyle w:val="Heading1"/>
      </w:pPr>
      <w:r>
        <w:t>Article I. Constitutional Principles</w:t>
      </w:r>
    </w:p>
    <w:p>
      <w:r>
        <w:rPr>
          <w:i/>
        </w:rPr>
        <w:t>Establish non-negotiable principles that control interpretation of every lower-level policy, office, and practice.</w:t>
      </w:r>
    </w:p>
    <w:p>
      <w:pPr>
        <w:pStyle w:val="Heading2"/>
      </w:pPr>
      <w:r>
        <w:t>1.1 Freedom of conscience</w:t>
      </w:r>
    </w:p>
    <w:p>
      <w:r>
        <w:t>No human being, office, council, text, claimed revelation, tradition, or institution may compel another person's conscience. The organization may teach, persuade, invite, recommend, and set neutral conditions for holding an office, but it shall not use coercion, threats, manipulation, material dependency, or abuse of authority to force belief or religious conformity.</w:t>
      </w:r>
    </w:p>
    <w:p>
      <w:pPr>
        <w:pStyle w:val="Heading2"/>
      </w:pPr>
      <w:r>
        <w:t>1.2 Human dignity and agency</w:t>
      </w:r>
    </w:p>
    <w:p>
      <w:r>
        <w:t>Every person retains moral agency and the right to make personal decisions about belief, association, family, marriage, medicine, education, vocation, residence, finances, and civic participation, subject only to generally applicable law and freely assumed contractual obligations.</w:t>
      </w:r>
    </w:p>
    <w:p>
      <w:pPr>
        <w:pStyle w:val="Heading2"/>
      </w:pPr>
      <w:r>
        <w:t>1.3 No infallible living authority</w:t>
      </w:r>
    </w:p>
    <w:p>
      <w:r>
        <w:t>No living founder, teacher, prophet, elder, director, officer, clergy member, council, or successor is infallible, immune from criticism, or beyond investigation, correction, suspension, or removal.</w:t>
      </w:r>
    </w:p>
    <w:p>
      <w:pPr>
        <w:pStyle w:val="Heading2"/>
      </w:pPr>
      <w:r>
        <w:t>1.4 Claims are distinguishable from authority</w:t>
      </w:r>
    </w:p>
    <w:p>
      <w:r>
        <w:t>A claimed revelation, vision, prophecy, mystical experience, discernment, or message is a claim to be evaluated. It does not become universally binding merely because it is sincerely reported, spiritually significant, historically influential, or endorsed by leadership.</w:t>
      </w:r>
    </w:p>
    <w:p>
      <w:pPr>
        <w:pStyle w:val="Heading2"/>
      </w:pPr>
      <w:r>
        <w:t>1.5 Institutional humility</w:t>
      </w:r>
    </w:p>
    <w:p>
      <w:r>
        <w:t>The organization shall distinguish evidence, interpretation, theological inference, communal tradition, and personal conviction. It shall permit the explicit conclusion “we do not know” where evidence does not justify confidence.</w:t>
      </w:r>
    </w:p>
    <w:p>
      <w:pPr>
        <w:pStyle w:val="Heading2"/>
      </w:pPr>
      <w:r>
        <w:t>1.6 Non-retaliation</w:t>
      </w:r>
    </w:p>
    <w:p>
      <w:r>
        <w:t>No person shall suffer retaliation for good-faith questions, disagreement, criticism, complaints, reports of misconduct, participation in an investigation, refusal of a religious practice, or departure from the organization.</w:t>
      </w:r>
    </w:p>
    <w:p>
      <w:pPr>
        <w:pStyle w:val="Heading2"/>
      </w:pPr>
      <w:r>
        <w:t>1.7 Safe exit</w:t>
      </w:r>
    </w:p>
    <w:p>
      <w:r>
        <w:t>Any participant may leave the organization without forfeiting personal property, wages, earned benefits, access to independent services, ordinary family relationships, or civil dignity. Departure shall not create a duty of social shunning.</w:t>
      </w:r>
    </w:p>
    <w:p>
      <w:pPr>
        <w:pStyle w:val="Heading2"/>
      </w:pPr>
      <w:r>
        <w:t>1.8 Civil law and external accountability</w:t>
      </w:r>
    </w:p>
    <w:p>
      <w:r>
        <w:t>The organization shall not claim that internal religious processes displace lawful civil reporting, criminal investigation, court orders, tax obligations, employment law, child-protection duties, or other applicable civil requirements.</w:t>
      </w:r>
    </w:p>
    <w:p>
      <w:pPr>
        <w:pStyle w:val="Heading2"/>
      </w:pPr>
      <w:r>
        <w:t>1.9 Truth over institutional preservation</w:t>
      </w:r>
    </w:p>
    <w:p>
      <w:r>
        <w:t>Protecting the organization’s reputation, founder, doctrine, finances, or continuity shall never justify concealment of abuse, destruction of evidence, retaliation, deception, or interference with lawful reporting.</w:t>
      </w:r>
    </w:p>
    <w:p>
      <w:pPr>
        <w:pStyle w:val="Heading2"/>
      </w:pPr>
      <w:r>
        <w:t>1.10 Subsidiarity of authority</w:t>
      </w:r>
    </w:p>
    <w:p>
      <w:r>
        <w:t>Authority shall be exercised at the lowest competent level. No office shall control a matter merely because it possesses spiritual status or organizational rank.</w:t>
      </w:r>
    </w:p>
    <w:p>
      <w:pPr>
        <w:pStyle w:val="Heading1"/>
      </w:pPr>
      <w:r>
        <w:t>Article II. Member and Participant Bill of Rights</w:t>
      </w:r>
    </w:p>
    <w:p>
      <w:r>
        <w:rPr>
          <w:i/>
        </w:rPr>
        <w:t>Define rights that cannot be waived by membership, employment, ordination, volunteering, vows, or participation.</w:t>
      </w:r>
    </w:p>
    <w:p>
      <w:pPr>
        <w:pStyle w:val="Heading2"/>
      </w:pPr>
      <w:r>
        <w:t>2.1 Right to belief and doubt</w:t>
      </w:r>
    </w:p>
    <w:p>
      <w:r>
        <w:t>Every person may believe, doubt, question, reinterpret, or reject any teaching without being subjected to coercive pressure, harassment, threats, or humiliation.</w:t>
      </w:r>
    </w:p>
    <w:p>
      <w:pPr>
        <w:pStyle w:val="Heading2"/>
      </w:pPr>
      <w:r>
        <w:t>2.2 Right to information</w:t>
      </w:r>
    </w:p>
    <w:p>
      <w:r>
        <w:t>Participants may read, possess, discuss, and share material from critics, former members, other religions, scholars, media, government, or any lawful source without permission.</w:t>
      </w:r>
    </w:p>
    <w:p>
      <w:pPr>
        <w:pStyle w:val="Heading2"/>
      </w:pPr>
      <w:r>
        <w:t>2.3 Right of association</w:t>
      </w:r>
    </w:p>
    <w:p>
      <w:r>
        <w:t>Participants may maintain relationships with family, friends, former members, nonmembers, and persons of other beliefs. Leadership shall not direct social exclusion as punishment for ordinary disagreement or departure.</w:t>
      </w:r>
    </w:p>
    <w:p>
      <w:pPr>
        <w:pStyle w:val="Heading2"/>
      </w:pPr>
      <w:r>
        <w:t>2.4 Right to privacy</w:t>
      </w:r>
    </w:p>
    <w:p>
      <w:r>
        <w:t>Private communications, confessions, counseling disclosures, health information, finances, and intimate personal matters shall be handled according to written confidentiality rules and applicable law. Information shall not be weaponized to secure compliance.</w:t>
      </w:r>
    </w:p>
    <w:p>
      <w:pPr>
        <w:pStyle w:val="Heading2"/>
      </w:pPr>
      <w:r>
        <w:t>2.5 Right to bodily autonomy and medical independence</w:t>
      </w:r>
    </w:p>
    <w:p>
      <w:r>
        <w:t>No leader may require or forbid lawful medical, psychiatric, psychological, reproductive, or therapeutic care. Spiritual care may supplement but shall not impersonate licensed professional care.</w:t>
      </w:r>
    </w:p>
    <w:p>
      <w:pPr>
        <w:pStyle w:val="Heading2"/>
      </w:pPr>
      <w:r>
        <w:t>2.6 Right to financial autonomy</w:t>
      </w:r>
    </w:p>
    <w:p>
      <w:r>
        <w:t>No participant shall be required to surrender wages, assets, inheritance, accounts, identification documents, or control of personal property to demonstrate faithfulness.</w:t>
      </w:r>
    </w:p>
    <w:p>
      <w:pPr>
        <w:pStyle w:val="Heading2"/>
      </w:pPr>
      <w:r>
        <w:t>2.7 Right to decline</w:t>
      </w:r>
    </w:p>
    <w:p>
      <w:r>
        <w:t>A person may decline donations, volunteer work, prayer, confession, counseling, ritual, travel, communal residence, fasting, initiation, spiritual direction, or testimony without retaliation, except that specific voluntary offices may have disclosed role requirements.</w:t>
      </w:r>
    </w:p>
    <w:p>
      <w:pPr>
        <w:pStyle w:val="Heading2"/>
      </w:pPr>
      <w:r>
        <w:t>2.8 Right to independent advice</w:t>
      </w:r>
    </w:p>
    <w:p>
      <w:r>
        <w:t>Participants may obtain independent legal, financial, medical, psychological, academic, spiritual, or pastoral advice.</w:t>
      </w:r>
    </w:p>
    <w:p>
      <w:pPr>
        <w:pStyle w:val="Heading2"/>
      </w:pPr>
      <w:r>
        <w:t>2.9 Right to complaint and appeal</w:t>
      </w:r>
    </w:p>
    <w:p>
      <w:r>
        <w:t>Every person has access to a documented complaint pathway, impartial fact-finding, protection from retaliation, and an appeal process where organizational discipline or removal of rights is involved.</w:t>
      </w:r>
    </w:p>
    <w:p>
      <w:pPr>
        <w:pStyle w:val="Heading2"/>
      </w:pPr>
      <w:r>
        <w:t>2.10 Right to know the rules</w:t>
      </w:r>
    </w:p>
    <w:p>
      <w:r>
        <w:t>No person shall be disciplined under a rule that was secret, retroactively imposed, materially misrepresented, or unavailable to the person at the time of the conduct.</w:t>
      </w:r>
    </w:p>
    <w:p>
      <w:pPr>
        <w:pStyle w:val="Heading2"/>
      </w:pPr>
      <w:r>
        <w:t>2.11 Right to leave</w:t>
      </w:r>
    </w:p>
    <w:p>
      <w:r>
        <w:t>Membership and participation are voluntary. Exit shall not require payment, permission, confession, nondisparagement, secrecy, transfer of property, or spiritual release by a leader.</w:t>
      </w:r>
    </w:p>
    <w:p>
      <w:pPr>
        <w:pStyle w:val="Heading2"/>
      </w:pPr>
      <w:r>
        <w:t>2.12 Rights of minors and vulnerable persons</w:t>
      </w:r>
    </w:p>
    <w:p>
      <w:r>
        <w:t>Children and vulnerable adults possess these rights to the maximum extent compatible with lawful guardianship and safeguarding. Religious authority shall never be used to defeat mandatory protection duties.</w:t>
      </w:r>
    </w:p>
    <w:p>
      <w:pPr>
        <w:pStyle w:val="Heading1"/>
      </w:pPr>
      <w:r>
        <w:t>Article III. Founder and Leadership Limitations</w:t>
      </w:r>
    </w:p>
    <w:p>
      <w:r>
        <w:rPr>
          <w:i/>
        </w:rPr>
        <w:t>Prevent the founder or any later leader from becoming the institution’s unchecked spiritual, corporate, financial, or disciplinary center.</w:t>
      </w:r>
    </w:p>
    <w:p>
      <w:pPr>
        <w:pStyle w:val="Heading2"/>
      </w:pPr>
      <w:r>
        <w:t>3.1 Founder status is historical, not sovereign</w:t>
      </w:r>
    </w:p>
    <w:p>
      <w:r>
        <w:t>The title of founder records historical contribution and carries no inherent veto, life tenure, ownership interest, doctrinal infallibility, disciplinary privilege, or power to bind future governing bodies.</w:t>
      </w:r>
    </w:p>
    <w:p>
      <w:pPr>
        <w:pStyle w:val="Heading2"/>
      </w:pPr>
      <w:r>
        <w:t>3.2 Separation of powers</w:t>
      </w:r>
    </w:p>
    <w:p>
      <w:r>
        <w:t>No individual may simultaneously exercise final authority over doctrine, corporate governance, finance, investigations, and discipline. Material decisions in these domains shall be distributed among independent bodies or officers.</w:t>
      </w:r>
    </w:p>
    <w:p>
      <w:pPr>
        <w:pStyle w:val="Heading2"/>
      </w:pPr>
      <w:r>
        <w:t>3.3 No unilateral board control</w:t>
      </w:r>
    </w:p>
    <w:p>
      <w:r>
        <w:t>The founder or chief executive shall not possess unilateral power to appoint or remove a governing-board majority. Board nominations shall use an independent process with staggered terms and conflict screening.</w:t>
      </w:r>
    </w:p>
    <w:p>
      <w:pPr>
        <w:pStyle w:val="Heading2"/>
      </w:pPr>
      <w:r>
        <w:t>3.4 No self-compensation</w:t>
      </w:r>
    </w:p>
    <w:p>
      <w:r>
        <w:t>No person may vote on, bargain for, or approve their own compensation, benefits, housing, loans, reimbursements, severance, intellectual-property transactions, or other economic benefits.</w:t>
      </w:r>
    </w:p>
    <w:p>
      <w:pPr>
        <w:pStyle w:val="Heading2"/>
      </w:pPr>
      <w:r>
        <w:t>3.5 No self-investigation</w:t>
      </w:r>
    </w:p>
    <w:p>
      <w:r>
        <w:t>A leader accused of misconduct shall have no authority over intake, investigator selection, evidence access decisions, findings, sanctions, appeal, public communication, or retaliation review concerning that allegation.</w:t>
      </w:r>
    </w:p>
    <w:p>
      <w:pPr>
        <w:pStyle w:val="Heading2"/>
      </w:pPr>
      <w:r>
        <w:t>3.6 No dynastic succession</w:t>
      </w:r>
    </w:p>
    <w:p>
      <w:r>
        <w:t>No office may pass automatically to a spouse, child, family member, designated spiritual heir, or favored disciple. Related persons must satisfy the same independent selection process as others.</w:t>
      </w:r>
    </w:p>
    <w:p>
      <w:pPr>
        <w:pStyle w:val="Heading2"/>
      </w:pPr>
      <w:r>
        <w:t>3.7 Term and review</w:t>
      </w:r>
    </w:p>
    <w:p>
      <w:r>
        <w:t>Executive and senior spiritual leadership shall be subject to periodic performance and integrity review by independent directors. Any life-tenure concept is prohibited for corporate or executive authority.</w:t>
      </w:r>
    </w:p>
    <w:p>
      <w:pPr>
        <w:pStyle w:val="Heading2"/>
      </w:pPr>
      <w:r>
        <w:t>3.8 Removal</w:t>
      </w:r>
    </w:p>
    <w:p>
      <w:r>
        <w:t>The governing body may suspend or remove any officer, including the founder, under procedures defined by the bylaws. Removal shall not require the officer’s consent.</w:t>
      </w:r>
    </w:p>
    <w:p>
      <w:pPr>
        <w:pStyle w:val="Heading2"/>
      </w:pPr>
      <w:r>
        <w:t>3.9 Founder recusal</w:t>
      </w:r>
    </w:p>
    <w:p>
      <w:r>
        <w:t>The founder shall recuse from matters involving personal compensation, family employment, related-party contracts, allegations against the founder or close associates, succession, and any matter presenting an actual or apparent conflict.</w:t>
      </w:r>
    </w:p>
    <w:p>
      <w:pPr>
        <w:pStyle w:val="Heading2"/>
      </w:pPr>
      <w:r>
        <w:t>3.10 Founder covenant</w:t>
      </w:r>
    </w:p>
    <w:p>
      <w:r>
        <w:t>Any founder serving in office shall annually sign the same conflict, safeguarding, confidentiality, conduct, and non-retaliation commitments required of other senior leaders, without special exception.</w:t>
      </w:r>
    </w:p>
    <w:p>
      <w:pPr>
        <w:pStyle w:val="Heading1"/>
      </w:pPr>
      <w:r>
        <w:t>Article IV. Governing Board Independence</w:t>
      </w:r>
    </w:p>
    <w:p>
      <w:r>
        <w:rPr>
          <w:i/>
        </w:rPr>
        <w:t>Create a board capable of governing rather than merely ratifying decisions made by management or charismatic leadership.</w:t>
      </w:r>
    </w:p>
    <w:p>
      <w:pPr>
        <w:pStyle w:val="Heading2"/>
      </w:pPr>
      <w:r>
        <w:t>4.1 Size</w:t>
      </w:r>
    </w:p>
    <w:p>
      <w:r>
        <w:t>The board should ordinarily contain seven to eleven voting directors and shall never contain fewer than five except during a temporary vacancy period expressly allowed by the bylaws.</w:t>
      </w:r>
    </w:p>
    <w:p>
      <w:pPr>
        <w:pStyle w:val="Heading2"/>
      </w:pPr>
      <w:r>
        <w:t>4.2 Independence</w:t>
      </w:r>
    </w:p>
    <w:p>
      <w:r>
        <w:t>At least two-thirds of voting directors shall be independent. An independent director is not an employee, not subordinate to an employee, not an immediate family member of another director or senior staff member, and does not receive material compensation from the organization other than reasonable expense reimbursement or approved board service if legally appropriate.</w:t>
      </w:r>
    </w:p>
    <w:p>
      <w:pPr>
        <w:pStyle w:val="Heading2"/>
      </w:pPr>
      <w:r>
        <w:t>4.3 Staggered terms</w:t>
      </w:r>
    </w:p>
    <w:p>
      <w:r>
        <w:t>Directors shall serve staggered fixed terms. Consecutive service shall be limited by the bylaws, followed by a meaningful break before reappointment except for narrowly defined emergency circumstances.</w:t>
      </w:r>
    </w:p>
    <w:p>
      <w:pPr>
        <w:pStyle w:val="Heading2"/>
      </w:pPr>
      <w:r>
        <w:t>4.4 Independent chair</w:t>
      </w:r>
    </w:p>
    <w:p>
      <w:r>
        <w:t>The board chair should be independent and shall not simultaneously serve as chief executive, chief financial officer, lead clergy executive, or founder with executive authority.</w:t>
      </w:r>
    </w:p>
    <w:p>
      <w:pPr>
        <w:pStyle w:val="Heading2"/>
      </w:pPr>
      <w:r>
        <w:t>4.5 Executive sessions</w:t>
      </w:r>
    </w:p>
    <w:p>
      <w:r>
        <w:t>Independent directors shall meet periodically without staff, founder, or executive leadership present.</w:t>
      </w:r>
    </w:p>
    <w:p>
      <w:pPr>
        <w:pStyle w:val="Heading2"/>
      </w:pPr>
      <w:r>
        <w:t>4.6 Reserved powers</w:t>
      </w:r>
    </w:p>
    <w:p>
      <w:r>
        <w:t>The board retains exclusive authority over executive appointment and removal, executive compensation, annual budget approval, audited or independently reviewed financial statements, major asset transactions, related-party transactions, safeguarding oversight, investigation of senior leaders, and amendments to entrenched protections.</w:t>
      </w:r>
    </w:p>
    <w:p>
      <w:pPr>
        <w:pStyle w:val="Heading2"/>
      </w:pPr>
      <w:r>
        <w:t>4.7 Minutes and records</w:t>
      </w:r>
    </w:p>
    <w:p>
      <w:r>
        <w:t>Material decisions shall be documented contemporaneously, including recusals, conflicts, alternatives considered, comparability data where relevant, and the basis for the decision.</w:t>
      </w:r>
    </w:p>
    <w:p>
      <w:pPr>
        <w:pStyle w:val="Heading2"/>
      </w:pPr>
      <w:r>
        <w:t>4.8 Board access</w:t>
      </w:r>
    </w:p>
    <w:p>
      <w:r>
        <w:t>Directors shall have reasonable independent access to organizational records, outside counsel, auditors, safeguarding advisers, and investigators necessary to discharge fiduciary duties.</w:t>
      </w:r>
    </w:p>
    <w:p>
      <w:pPr>
        <w:pStyle w:val="Heading2"/>
      </w:pPr>
      <w:r>
        <w:t>4.9 No loyalty oath to a person</w:t>
      </w:r>
    </w:p>
    <w:p>
      <w:r>
        <w:t>Directors may affirm the mission and governing documents but shall not be required to pledge personal loyalty or obedience to a founder, leader, family, or faction.</w:t>
      </w:r>
    </w:p>
    <w:p>
      <w:pPr>
        <w:pStyle w:val="Heading1"/>
      </w:pPr>
      <w:r>
        <w:t>Article V. Freedom of Conscience and Anti-Coercion Covenant</w:t>
      </w:r>
    </w:p>
    <w:p>
      <w:r>
        <w:rPr>
          <w:i/>
        </w:rPr>
        <w:t>Translate freedom of conscience into enforceable behavioral prohibitions.</w:t>
      </w:r>
    </w:p>
    <w:p>
      <w:pPr>
        <w:pStyle w:val="Heading2"/>
      </w:pPr>
      <w:r>
        <w:t>5.1 Prohibited coercive methods</w:t>
      </w:r>
    </w:p>
    <w:p>
      <w:r>
        <w:t>Leadership shall not use threats of expulsion, damnation, supernatural harm, family loss, housing loss, employment loss, financial ruin, exposure of confidential information, humiliation, or social destruction to obtain religious compliance.</w:t>
      </w:r>
    </w:p>
    <w:p>
      <w:pPr>
        <w:pStyle w:val="Heading2"/>
      </w:pPr>
      <w:r>
        <w:t>5.2 No dependency leverage</w:t>
      </w:r>
    </w:p>
    <w:p>
      <w:r>
        <w:t>Where the organization controls housing, employment, food, transportation, schooling, healthcare assistance, immigration support, or emergency aid, those resources shall not be conditioned on ideological conformity beyond lawful and clearly disclosed role requirements.</w:t>
      </w:r>
    </w:p>
    <w:p>
      <w:pPr>
        <w:pStyle w:val="Heading2"/>
      </w:pPr>
      <w:r>
        <w:t>5.3 No exhaustion-based consent</w:t>
      </w:r>
    </w:p>
    <w:p>
      <w:r>
        <w:t>The organization shall not use sleep deprivation, food deprivation, prolonged isolation, excessive ritual duration, relentless interrogation, sensory overload, drug use, or exhaustion as a means of obtaining consent, confession, donations, vows, or doctrinal commitment.</w:t>
      </w:r>
    </w:p>
    <w:p>
      <w:pPr>
        <w:pStyle w:val="Heading2"/>
      </w:pPr>
      <w:r>
        <w:t>5.4 No forced confession</w:t>
      </w:r>
    </w:p>
    <w:p>
      <w:r>
        <w:t>Confession or disclosure of intimate conduct shall not be forced, publicly compelled, recorded without permission, or used as leverage. A person shall not be required to disclose trauma, sexuality, medical history, finances, or past wrongdoing merely to prove spiritual sincerity.</w:t>
      </w:r>
    </w:p>
    <w:p>
      <w:pPr>
        <w:pStyle w:val="Heading2"/>
      </w:pPr>
      <w:r>
        <w:t>5.5 No compelled political conduct</w:t>
      </w:r>
    </w:p>
    <w:p>
      <w:r>
        <w:t>No religious leader may direct a participant how to vote, which party or candidate to support, or how to engage in lawful civic participation as a condition of spiritual standing or organizational belonging.</w:t>
      </w:r>
    </w:p>
    <w:p>
      <w:pPr>
        <w:pStyle w:val="Heading2"/>
      </w:pPr>
      <w:r>
        <w:t>5.6 Personal decisions</w:t>
      </w:r>
    </w:p>
    <w:p>
      <w:r>
        <w:t>Leaders may offer requested counsel but shall not make binding personal decisions for competent adults concerning marriage partner, divorce, reproduction, medical treatment, residence, career, education, or personal finances.</w:t>
      </w:r>
    </w:p>
    <w:p>
      <w:pPr>
        <w:pStyle w:val="Heading2"/>
      </w:pPr>
      <w:r>
        <w:t>5.7 Consent standard</w:t>
      </w:r>
    </w:p>
    <w:p>
      <w:r>
        <w:t>Consent must be informed, specific, voluntary, revocable, and obtained without abuse of spiritual or material dependency. Silence, fear, rank difference, or prior consent does not establish present consent.</w:t>
      </w:r>
    </w:p>
    <w:p>
      <w:pPr>
        <w:pStyle w:val="Heading1"/>
      </w:pPr>
      <w:r>
        <w:t>Article VI. Epistemic Integrity, Revelation, and Doctrine</w:t>
      </w:r>
    </w:p>
    <w:p>
      <w:r>
        <w:rPr>
          <w:i/>
        </w:rPr>
        <w:t>Prevent extraordinary spiritual claims from bypassing evidence, deliberation, or individual conscience.</w:t>
      </w:r>
    </w:p>
    <w:p>
      <w:pPr>
        <w:pStyle w:val="Heading2"/>
      </w:pPr>
      <w:r>
        <w:t>6.1 Claim classification</w:t>
      </w:r>
    </w:p>
    <w:p>
      <w:r>
        <w:t>The organization shall distinguish at minimum: observed or documentary evidence; historical inference; philosophical interpretation; theological hypothesis; communal teaching or tradition; and personal conviction or claimed revelation.</w:t>
      </w:r>
    </w:p>
    <w:p>
      <w:pPr>
        <w:pStyle w:val="Heading2"/>
      </w:pPr>
      <w:r>
        <w:t>6.2 Revelation is not self-authenticating</w:t>
      </w:r>
    </w:p>
    <w:p>
      <w:r>
        <w:t>No claimed revelation gains corporate authority solely from intensity, charisma, office, spiritual gifts, predictive claims, dreams, visions, altered states, or private certainty.</w:t>
      </w:r>
    </w:p>
    <w:p>
      <w:pPr>
        <w:pStyle w:val="Heading2"/>
      </w:pPr>
      <w:r>
        <w:t>6.3 Public doctrine process</w:t>
      </w:r>
    </w:p>
    <w:p>
      <w:r>
        <w:t>Material doctrinal changes shall follow a documented process that identifies evidence, competing interpretations, rationale, dissent, and confidence level. Emergency executive decree is not an acceptable ordinary path for doctrine.</w:t>
      </w:r>
    </w:p>
    <w:p>
      <w:pPr>
        <w:pStyle w:val="Heading2"/>
      </w:pPr>
      <w:r>
        <w:t>6.4 Dissenting record</w:t>
      </w:r>
    </w:p>
    <w:p>
      <w:r>
        <w:t>Where a governing or teaching body reaches a materially contested conclusion, good-faith minority reasoning may be preserved in the institutional record.</w:t>
      </w:r>
    </w:p>
    <w:p>
      <w:pPr>
        <w:pStyle w:val="Heading2"/>
      </w:pPr>
      <w:r>
        <w:t>6.5 No manufactured certainty</w:t>
      </w:r>
    </w:p>
    <w:p>
      <w:r>
        <w:t>Public teaching shall not represent disputed inference as established fact merely to increase commitment or obedience.</w:t>
      </w:r>
    </w:p>
    <w:p>
      <w:pPr>
        <w:pStyle w:val="Heading2"/>
      </w:pPr>
      <w:r>
        <w:t>6.6 Correction duty</w:t>
      </w:r>
    </w:p>
    <w:p>
      <w:r>
        <w:t>Material factual errors in public teaching, historical claims, fundraising narratives, or organizational representations shall be corrected promptly and visibly.</w:t>
      </w:r>
    </w:p>
    <w:p>
      <w:pPr>
        <w:pStyle w:val="Heading2"/>
      </w:pPr>
      <w:r>
        <w:t>6.7 Research independence</w:t>
      </w:r>
    </w:p>
    <w:p>
      <w:r>
        <w:t>Historical and phenomenological research functions shall be free to report evidence that complicates, contradicts, or weakens preferred theological conclusions.</w:t>
      </w:r>
    </w:p>
    <w:p>
      <w:pPr>
        <w:pStyle w:val="Heading1"/>
      </w:pPr>
      <w:r>
        <w:t>Article VII. Financial Integrity and Stewardship</w:t>
      </w:r>
    </w:p>
    <w:p>
      <w:r>
        <w:rPr>
          <w:i/>
        </w:rPr>
        <w:t>Prevent money from becoming a mechanism of control or private enrichment.</w:t>
      </w:r>
    </w:p>
    <w:p>
      <w:pPr>
        <w:pStyle w:val="Heading2"/>
      </w:pPr>
      <w:r>
        <w:t>7.1 Voluntary giving</w:t>
      </w:r>
    </w:p>
    <w:p>
      <w:r>
        <w:t>Giving shall be voluntary. No donation level may determine spiritual worth, access to sacraments or rites, access to leadership, salvation, initiation status, or eligibility for ordinary pastoral care.</w:t>
      </w:r>
    </w:p>
    <w:p>
      <w:pPr>
        <w:pStyle w:val="Heading2"/>
      </w:pPr>
      <w:r>
        <w:t>7.2 No hardship exploitation</w:t>
      </w:r>
    </w:p>
    <w:p>
      <w:r>
        <w:t>Fundraising shall not knowingly pressure a person to give money or property in a manner reasonably likely to jeopardize basic housing, food, medical care, dependent care, or financial safety.</w:t>
      </w:r>
    </w:p>
    <w:p>
      <w:pPr>
        <w:pStyle w:val="Heading2"/>
      </w:pPr>
      <w:r>
        <w:t>7.3 Budget transparency</w:t>
      </w:r>
    </w:p>
    <w:p>
      <w:r>
        <w:t>The board shall approve an annual budget. A summarized budget, leadership compensation methodology, major related-party transactions, and year-end financial results shall be made available to members and, where practical, publicly.</w:t>
      </w:r>
    </w:p>
    <w:p>
      <w:pPr>
        <w:pStyle w:val="Heading2"/>
      </w:pPr>
      <w:r>
        <w:t>7.4 Internal controls</w:t>
      </w:r>
    </w:p>
    <w:p>
      <w:r>
        <w:t>No one person shall control authorization, custody, recordkeeping, and reconciliation for material funds. Dual controls shall apply to disbursements above thresholds set by policy.</w:t>
      </w:r>
    </w:p>
    <w:p>
      <w:pPr>
        <w:pStyle w:val="Heading2"/>
      </w:pPr>
      <w:r>
        <w:t>7.5 Compensation</w:t>
      </w:r>
    </w:p>
    <w:p>
      <w:r>
        <w:t>Compensation of senior leaders shall be approved in advance by disinterested directors using appropriate comparability data and contemporaneous documentation. The compensated person and conflicted persons shall not participate in deliberation or vote.</w:t>
      </w:r>
    </w:p>
    <w:p>
      <w:pPr>
        <w:pStyle w:val="Heading2"/>
      </w:pPr>
      <w:r>
        <w:t>7.6 Related-party transactions</w:t>
      </w:r>
    </w:p>
    <w:p>
      <w:r>
        <w:t>A related-party transaction requires disclosure, recusal, independent comparability or competitive evidence where feasible, an affirmative best-interest finding, and documented approval by disinterested directors.</w:t>
      </w:r>
    </w:p>
    <w:p>
      <w:pPr>
        <w:pStyle w:val="Heading2"/>
      </w:pPr>
      <w:r>
        <w:t>7.7 Loans and personal use</w:t>
      </w:r>
    </w:p>
    <w:p>
      <w:r>
        <w:t>Loans to insiders, personal use of organizational assets, housing arrangements, intellectual-property licenses, vehicle use, travel, and expense reimbursements shall be governed by written policies and reviewed for private benefit concerns.</w:t>
      </w:r>
    </w:p>
    <w:p>
      <w:pPr>
        <w:pStyle w:val="Heading2"/>
      </w:pPr>
      <w:r>
        <w:t>7.8 Restricted gifts</w:t>
      </w:r>
    </w:p>
    <w:p>
      <w:r>
        <w:t>Donor restrictions that are accepted shall be honored. Funds solicited for a specific project shall not be materially redirected without lawful authority and appropriate disclosure.</w:t>
      </w:r>
    </w:p>
    <w:p>
      <w:pPr>
        <w:pStyle w:val="Heading2"/>
      </w:pPr>
      <w:r>
        <w:t>7.9 Annual external review</w:t>
      </w:r>
    </w:p>
    <w:p>
      <w:r>
        <w:t>Financial statements shall receive an independent CPA compilation, review, or audit at a level appropriate to organizational size, risk, donor expectations, lender requirements, and law. The board or an independent audit/finance committee shall engage and communicate with the accountant.</w:t>
      </w:r>
    </w:p>
    <w:p>
      <w:pPr>
        <w:pStyle w:val="Heading2"/>
      </w:pPr>
      <w:r>
        <w:t>7.10 No founder ownership</w:t>
      </w:r>
    </w:p>
    <w:p>
      <w:r>
        <w:t>Organizational assets are not the property of the founder, clergy, directors, members, or donors. Dissolution and asset disposition shall follow governing documents and applicable charitable-purpose requirements.</w:t>
      </w:r>
    </w:p>
    <w:p>
      <w:pPr>
        <w:pStyle w:val="Heading1"/>
      </w:pPr>
      <w:r>
        <w:t>Article VIII. Safeguarding Children and Vulnerable Persons</w:t>
      </w:r>
    </w:p>
    <w:p>
      <w:r>
        <w:rPr>
          <w:i/>
        </w:rPr>
        <w:t>Create prevention, reporting, response, and oversight controls before programs involving minors or vulnerable adults begin.</w:t>
      </w:r>
    </w:p>
    <w:p>
      <w:pPr>
        <w:pStyle w:val="Heading2"/>
      </w:pPr>
      <w:r>
        <w:t>8.1 Zero spiritual exemption</w:t>
      </w:r>
    </w:p>
    <w:p>
      <w:r>
        <w:t>Religious status, confession, pastoral privilege, internal discipline, forgiveness, reconciliation, or the accused person’s rank shall never be used to obstruct legally required reporting or protective action.</w:t>
      </w:r>
    </w:p>
    <w:p>
      <w:pPr>
        <w:pStyle w:val="Heading2"/>
      </w:pPr>
      <w:r>
        <w:t>8.2 Mandatory reporting</w:t>
      </w:r>
    </w:p>
    <w:p>
      <w:r>
        <w:t>The organization shall train all workers and volunteers on applicable reporting law. In Tennessee, the baseline policy shall state that everyone is a mandated reporter of suspected child abuse or neglect and that internal reporting does not replace a report to the appropriate authorities when the legal threshold is met.</w:t>
      </w:r>
    </w:p>
    <w:p>
      <w:pPr>
        <w:pStyle w:val="Heading2"/>
      </w:pPr>
      <w:r>
        <w:t>8.3 Two-adult rule</w:t>
      </w:r>
    </w:p>
    <w:p>
      <w:r>
        <w:t>Programs involving minors shall ordinarily maintain at least two screened adults or equivalent open-and-observable safeguards, with documented exceptions for emergency, healthcare, or other circumstances covered by written policy.</w:t>
      </w:r>
    </w:p>
    <w:p>
      <w:pPr>
        <w:pStyle w:val="Heading2"/>
      </w:pPr>
      <w:r>
        <w:t>8.4 Screening</w:t>
      </w:r>
    </w:p>
    <w:p>
      <w:r>
        <w:t>Roles with access to minors or vulnerable persons shall receive role-appropriate application review, references, background checks, identity verification, training, and periodic rescreening where lawful and appropriate.</w:t>
      </w:r>
    </w:p>
    <w:p>
      <w:pPr>
        <w:pStyle w:val="Heading2"/>
      </w:pPr>
      <w:r>
        <w:t>8.5 One-to-one contact</w:t>
      </w:r>
    </w:p>
    <w:p>
      <w:r>
        <w:t>Private one-to-one contact between an adult leader and a minor shall be limited, observable where practical, and subject to guardian-aware communications rules. Digital communications shall follow the same principle.</w:t>
      </w:r>
    </w:p>
    <w:p>
      <w:pPr>
        <w:pStyle w:val="Heading2"/>
      </w:pPr>
      <w:r>
        <w:t>8.6 Transportation and lodging</w:t>
      </w:r>
    </w:p>
    <w:p>
      <w:r>
        <w:t>Transport, travel, overnight events, bathrooms, changing areas, lodging, and home visits shall use written safeguards appropriate to age and context.</w:t>
      </w:r>
    </w:p>
    <w:p>
      <w:pPr>
        <w:pStyle w:val="Heading2"/>
      </w:pPr>
      <w:r>
        <w:t>8.7 Immediate protective action</w:t>
      </w:r>
    </w:p>
    <w:p>
      <w:r>
        <w:t>Credible safety concerns may justify temporary suspension from access or duties while facts are assessed. Administrative leave is not a determination of guilt.</w:t>
      </w:r>
    </w:p>
    <w:p>
      <w:pPr>
        <w:pStyle w:val="Heading2"/>
      </w:pPr>
      <w:r>
        <w:t>8.8 Survivor-centered response</w:t>
      </w:r>
    </w:p>
    <w:p>
      <w:r>
        <w:t>The organization shall prioritize immediate safety, avoid retaliation or pressure for reconciliation, preserve evidence, provide information about independent support, and refrain from requiring mediation between an alleged victim and alleged perpetrator.</w:t>
      </w:r>
    </w:p>
    <w:p>
      <w:pPr>
        <w:pStyle w:val="Heading2"/>
      </w:pPr>
      <w:r>
        <w:t>8.9 No internal substitution</w:t>
      </w:r>
    </w:p>
    <w:p>
      <w:r>
        <w:t>An internal inquiry shall not substitute for law-enforcement, child-protection, licensing, or other external investigation when those authorities have jurisdiction.</w:t>
      </w:r>
    </w:p>
    <w:p>
      <w:pPr>
        <w:pStyle w:val="Heading1"/>
      </w:pPr>
      <w:r>
        <w:t>Article IX. Pastoral and Spiritual-Care Ethics</w:t>
      </w:r>
    </w:p>
    <w:p>
      <w:r>
        <w:rPr>
          <w:i/>
        </w:rPr>
        <w:t>Define boundaries for relationships involving spiritual trust and asymmetrical authority.</w:t>
      </w:r>
    </w:p>
    <w:p>
      <w:pPr>
        <w:pStyle w:val="Heading2"/>
      </w:pPr>
      <w:r>
        <w:t>9.1 Scope honesty</w:t>
      </w:r>
    </w:p>
    <w:p>
      <w:r>
        <w:t>Pastoral or spiritual caregivers shall clearly distinguish spiritual support from licensed psychotherapy, medical care, legal advice, financial advice, and other regulated professional services.</w:t>
      </w:r>
    </w:p>
    <w:p>
      <w:pPr>
        <w:pStyle w:val="Heading2"/>
      </w:pPr>
      <w:r>
        <w:t>9.2 Sexual boundaries</w:t>
      </w:r>
    </w:p>
    <w:p>
      <w:r>
        <w:t>A leader shall not exploit a pastoral, supervisory, counseling, mentoring, or disciplinary relationship for sexual or romantic access. Any potential relationship presenting a power imbalance must be handled under a written conflict and boundary process before romantic pursuit.</w:t>
      </w:r>
    </w:p>
    <w:p>
      <w:pPr>
        <w:pStyle w:val="Heading2"/>
      </w:pPr>
      <w:r>
        <w:t>9.3 Confidentiality</w:t>
      </w:r>
    </w:p>
    <w:p>
      <w:r>
        <w:t>The organization shall publish the limits of pastoral confidentiality, including safeguarding, threats, legal process, supervision, and other lawful exceptions.</w:t>
      </w:r>
    </w:p>
    <w:p>
      <w:pPr>
        <w:pStyle w:val="Heading2"/>
      </w:pPr>
      <w:r>
        <w:t>9.4 No dependency engineering</w:t>
      </w:r>
    </w:p>
    <w:p>
      <w:r>
        <w:t>Caregivers shall not deliberately make a person dependent on a particular leader for identity, decision-making, salvation assurance, ordinary social connection, or access to God or transcendent reality.</w:t>
      </w:r>
    </w:p>
    <w:p>
      <w:pPr>
        <w:pStyle w:val="Heading2"/>
      </w:pPr>
      <w:r>
        <w:t>9.5 Referrals</w:t>
      </w:r>
    </w:p>
    <w:p>
      <w:r>
        <w:t>Leaders shall refer matters beyond their competence to qualified independent professionals and shall not punish a participant for seeking such help.</w:t>
      </w:r>
    </w:p>
    <w:p>
      <w:pPr>
        <w:pStyle w:val="Heading2"/>
      </w:pPr>
      <w:r>
        <w:t>9.6 Gifts</w:t>
      </w:r>
    </w:p>
    <w:p>
      <w:r>
        <w:t>Material gifts to individual leaders from persons under their pastoral authority shall be restricted by policy, disclosed above stated thresholds, and rejected where acceptance would exploit vulnerability or create a significant conflict.</w:t>
      </w:r>
    </w:p>
    <w:p>
      <w:pPr>
        <w:pStyle w:val="Heading1"/>
      </w:pPr>
      <w:r>
        <w:t>Article X. Complaints, Whistleblowing, and Non-Retaliation</w:t>
      </w:r>
    </w:p>
    <w:p>
      <w:r>
        <w:rPr>
          <w:i/>
        </w:rPr>
        <w:t>Ensure allegations can reach a forum not controlled by the person complained about.</w:t>
      </w:r>
    </w:p>
    <w:p>
      <w:pPr>
        <w:pStyle w:val="Heading2"/>
      </w:pPr>
      <w:r>
        <w:t>10.1 Multiple intake channels</w:t>
      </w:r>
    </w:p>
    <w:p>
      <w:r>
        <w:t>Complaints may be submitted to at least two independent channels, one of which bypasses ordinary management. Anonymous reports shall be accepted while acknowledging evidentiary limitations.</w:t>
      </w:r>
    </w:p>
    <w:p>
      <w:pPr>
        <w:pStyle w:val="Heading2"/>
      </w:pPr>
      <w:r>
        <w:t>10.2 No chain-of-command barrier</w:t>
      </w:r>
    </w:p>
    <w:p>
      <w:r>
        <w:t>A complaint about a senior leader need not be reported to that leader or through that leader’s subordinates.</w:t>
      </w:r>
    </w:p>
    <w:p>
      <w:pPr>
        <w:pStyle w:val="Heading2"/>
      </w:pPr>
      <w:r>
        <w:t>10.3 Acknowledgment and triage</w:t>
      </w:r>
    </w:p>
    <w:p>
      <w:r>
        <w:t>Reports shall be acknowledged promptly and triaged for immediate safety, mandatory reporting, evidence preservation, conflicts, interim measures, and investigator selection.</w:t>
      </w:r>
    </w:p>
    <w:p>
      <w:pPr>
        <w:pStyle w:val="Heading2"/>
      </w:pPr>
      <w:r>
        <w:t>10.4 Anti-retaliation</w:t>
      </w:r>
    </w:p>
    <w:p>
      <w:r>
        <w:t>Retaliation includes adverse employment or ministry action, threats, intimidation, social punishment directed by leadership, reputational attacks using confidential information, interference with housing or benefits, or bad-faith discipline triggered by protected reporting.</w:t>
      </w:r>
    </w:p>
    <w:p>
      <w:pPr>
        <w:pStyle w:val="Heading2"/>
      </w:pPr>
      <w:r>
        <w:t>10.5 Bad-faith reports</w:t>
      </w:r>
    </w:p>
    <w:p>
      <w:r>
        <w:t>Knowingly fabricated allegations may be addressed under ordinary conduct rules, but an allegation is not bad faith merely because it is unsubstantiated, mistaken, difficult to prove, or ultimately not sustained.</w:t>
      </w:r>
    </w:p>
    <w:p>
      <w:pPr>
        <w:pStyle w:val="Heading2"/>
      </w:pPr>
      <w:r>
        <w:t>10.6 Records</w:t>
      </w:r>
    </w:p>
    <w:p>
      <w:r>
        <w:t>Complaint records shall be access-controlled, retained under a written schedule, preserved when litigation or investigation is reasonably anticipated, and not altered or destroyed to protect reputation.</w:t>
      </w:r>
    </w:p>
    <w:p>
      <w:pPr>
        <w:pStyle w:val="Heading1"/>
      </w:pPr>
      <w:r>
        <w:t>Article XI. Independent Investigation Protocol</w:t>
      </w:r>
    </w:p>
    <w:p>
      <w:r>
        <w:rPr>
          <w:i/>
        </w:rPr>
        <w:t>Protect fact-finding from conflicts and predetermined outcomes.</w:t>
      </w:r>
    </w:p>
    <w:p>
      <w:pPr>
        <w:pStyle w:val="Heading2"/>
      </w:pPr>
      <w:r>
        <w:t>11.1 Independence trigger</w:t>
      </w:r>
    </w:p>
    <w:p>
      <w:r>
        <w:t>Allegations involving the founder, chief executive, senior clergy, a director, safeguarding failures, sexual misconduct, material fraud, retaliation, or systemic abuse shall presumptively be referred to an investigator independent of the implicated chain of command.</w:t>
      </w:r>
    </w:p>
    <w:p>
      <w:pPr>
        <w:pStyle w:val="Heading2"/>
      </w:pPr>
      <w:r>
        <w:t>11.2 Investigator qualification</w:t>
      </w:r>
    </w:p>
    <w:p>
      <w:r>
        <w:t>The investigator shall have appropriate subject-matter competence and no material relationship that would reasonably call impartiality into question.</w:t>
      </w:r>
    </w:p>
    <w:p>
      <w:pPr>
        <w:pStyle w:val="Heading2"/>
      </w:pPr>
      <w:r>
        <w:t>11.3 Terms of reference</w:t>
      </w:r>
    </w:p>
    <w:p>
      <w:r>
        <w:t>The appointing body shall define allegations, scope, reporting line, access to records, confidentiality limits, evidence preservation, and authority to expand scope when related misconduct is discovered.</w:t>
      </w:r>
    </w:p>
    <w:p>
      <w:pPr>
        <w:pStyle w:val="Heading2"/>
      </w:pPr>
      <w:r>
        <w:t>11.4 Fair process</w:t>
      </w:r>
    </w:p>
    <w:p>
      <w:r>
        <w:t>The subject of allegations shall receive a fair opportunity to respond to material allegations and evidence, subject to safety, witness-protection, legal, and investigative constraints.</w:t>
      </w:r>
    </w:p>
    <w:p>
      <w:pPr>
        <w:pStyle w:val="Heading2"/>
      </w:pPr>
      <w:r>
        <w:t>11.5 Standard and findings</w:t>
      </w:r>
    </w:p>
    <w:p>
      <w:r>
        <w:t>The organization shall identify the evidentiary standard used for internal findings. Findings shall distinguish substantiated, unsubstantiated, inconclusive, and policy/system failures rather than collapsing all outcomes into guilt or innocence.</w:t>
      </w:r>
    </w:p>
    <w:p>
      <w:pPr>
        <w:pStyle w:val="Heading2"/>
      </w:pPr>
      <w:r>
        <w:t>11.6 Board control</w:t>
      </w:r>
    </w:p>
    <w:p>
      <w:r>
        <w:t>Management shall not alter an independent investigator’s factual findings. The governing body may separately determine organizational action and shall document departures from recommendations.</w:t>
      </w:r>
    </w:p>
    <w:p>
      <w:pPr>
        <w:pStyle w:val="Heading2"/>
      </w:pPr>
      <w:r>
        <w:t>11.7 External authorities</w:t>
      </w:r>
    </w:p>
    <w:p>
      <w:r>
        <w:t>Nothing in the investigation process shall discourage or delay lawful reporting to police, child-protection agencies, regulators, insurers, or courts.</w:t>
      </w:r>
    </w:p>
    <w:p>
      <w:pPr>
        <w:pStyle w:val="Heading1"/>
      </w:pPr>
      <w:r>
        <w:t>Article XII. Discipline, Removal, and Appeals</w:t>
      </w:r>
    </w:p>
    <w:p>
      <w:r>
        <w:rPr>
          <w:i/>
        </w:rPr>
        <w:t>Provide due process and prevent discipline from becoming a tool for silencing dissent.</w:t>
      </w:r>
    </w:p>
    <w:p>
      <w:pPr>
        <w:pStyle w:val="Heading2"/>
      </w:pPr>
      <w:r>
        <w:t>12.1 Defined grounds</w:t>
      </w:r>
    </w:p>
    <w:p>
      <w:r>
        <w:t>Discipline shall be based on published conduct or role standards, not vague disloyalty to a person, criticism of leadership, exposure of misconduct, or failure to display sufficient enthusiasm.</w:t>
      </w:r>
    </w:p>
    <w:p>
      <w:pPr>
        <w:pStyle w:val="Heading2"/>
      </w:pPr>
      <w:r>
        <w:t>12.2 Notice</w:t>
      </w:r>
    </w:p>
    <w:p>
      <w:r>
        <w:t>Except for urgent interim safety measures, the person shall receive notice of the material allegations and potential consequences before final action.</w:t>
      </w:r>
    </w:p>
    <w:p>
      <w:pPr>
        <w:pStyle w:val="Heading2"/>
      </w:pPr>
      <w:r>
        <w:t>12.3 Impartial decision maker</w:t>
      </w:r>
    </w:p>
    <w:p>
      <w:r>
        <w:t>A complainant, accused person, investigator, and final decision maker shall not be the same person. Conflicted decision makers shall recuse.</w:t>
      </w:r>
    </w:p>
    <w:p>
      <w:pPr>
        <w:pStyle w:val="Heading2"/>
      </w:pPr>
      <w:r>
        <w:t>12.4 Proportionality</w:t>
      </w:r>
    </w:p>
    <w:p>
      <w:r>
        <w:t>Responses shall be proportionate and distinguish safety measures, employment consequences, office eligibility, membership status, and spiritual care.</w:t>
      </w:r>
    </w:p>
    <w:p>
      <w:pPr>
        <w:pStyle w:val="Heading2"/>
      </w:pPr>
      <w:r>
        <w:t>12.5 Appeal</w:t>
      </w:r>
    </w:p>
    <w:p>
      <w:r>
        <w:t>Material discipline affecting membership, office, employment, ordination, or reputation shall have an appeal to a person or body not materially involved in the original decision.</w:t>
      </w:r>
    </w:p>
    <w:p>
      <w:pPr>
        <w:pStyle w:val="Heading2"/>
      </w:pPr>
      <w:r>
        <w:t>12.6 No compelled reconciliation</w:t>
      </w:r>
    </w:p>
    <w:p>
      <w:r>
        <w:t>Forgiveness, reconciliation, restoration to office, restoration of contact, and legal accountability are distinct concepts. No harmed person shall be compelled to reconcile or resume contact.</w:t>
      </w:r>
    </w:p>
    <w:p>
      <w:pPr>
        <w:pStyle w:val="Heading2"/>
      </w:pPr>
      <w:r>
        <w:t>12.7 Restoration is not entitlement</w:t>
      </w:r>
    </w:p>
    <w:p>
      <w:r>
        <w:t>Spiritual forgiveness or personal repentance does not create an automatic right to return to leadership, childcare, counseling, financial authority, or other positions of trust.</w:t>
      </w:r>
    </w:p>
    <w:p>
      <w:pPr>
        <w:pStyle w:val="Heading1"/>
      </w:pPr>
      <w:r>
        <w:t>Article XIII. Exit, Disaffiliation, and Former-Member Relations</w:t>
      </w:r>
    </w:p>
    <w:p>
      <w:r>
        <w:rPr>
          <w:i/>
        </w:rPr>
        <w:t>Make departure safe enough that continued participation remains genuinely voluntary.</w:t>
      </w:r>
    </w:p>
    <w:p>
      <w:pPr>
        <w:pStyle w:val="Heading2"/>
      </w:pPr>
      <w:r>
        <w:t>13.1 No permission required</w:t>
      </w:r>
    </w:p>
    <w:p>
      <w:r>
        <w:t>A competent adult may resign membership or participation by any clear expression of intent. Leadership approval is not required.</w:t>
      </w:r>
    </w:p>
    <w:p>
      <w:pPr>
        <w:pStyle w:val="Heading2"/>
      </w:pPr>
      <w:r>
        <w:t>13.2 No exit fees</w:t>
      </w:r>
    </w:p>
    <w:p>
      <w:r>
        <w:t>No person shall owe an exit fee, spiritual release fee, repayment of ordinary benevolence, or transfer of personal assets as a condition of leaving, except ordinary debts established independently of membership.</w:t>
      </w:r>
    </w:p>
    <w:p>
      <w:pPr>
        <w:pStyle w:val="Heading2"/>
      </w:pPr>
      <w:r>
        <w:t>13.3 No institutional shunning</w:t>
      </w:r>
    </w:p>
    <w:p>
      <w:r>
        <w:t>The organization shall not direct members to sever ordinary family or social contact with a departed person merely because of departure, disagreement, criticism, or change of belief.</w:t>
      </w:r>
    </w:p>
    <w:p>
      <w:pPr>
        <w:pStyle w:val="Heading2"/>
      </w:pPr>
      <w:r>
        <w:t>13.4 Privacy after exit</w:t>
      </w:r>
    </w:p>
    <w:p>
      <w:r>
        <w:t>Confidential information about a former member shall remain protected. Departure does not authorize public disclosure of confession, counseling information, health information, or private correspondence.</w:t>
      </w:r>
    </w:p>
    <w:p>
      <w:pPr>
        <w:pStyle w:val="Heading2"/>
      </w:pPr>
      <w:r>
        <w:t>13.5 Records and property</w:t>
      </w:r>
    </w:p>
    <w:p>
      <w:r>
        <w:t>Personal property shall be returned promptly. Employment records, earned compensation, benefits, housing matters, and contractual obligations shall be handled under ordinary law and written agreements rather than spiritual leverage.</w:t>
      </w:r>
    </w:p>
    <w:p>
      <w:pPr>
        <w:pStyle w:val="Heading2"/>
      </w:pPr>
      <w:r>
        <w:t>13.6 Criticism</w:t>
      </w:r>
    </w:p>
    <w:p>
      <w:r>
        <w:t>Former members retain the same lawful right to speak about their experience as others. The organization may correct demonstrably false factual claims but shall not use intimidation or confidential information to suppress criticism.</w:t>
      </w:r>
    </w:p>
    <w:p>
      <w:pPr>
        <w:pStyle w:val="Heading1"/>
      </w:pPr>
      <w:r>
        <w:t>Article XIV. Housing, Employment, Education, and Community Separation</w:t>
      </w:r>
    </w:p>
    <w:p>
      <w:r>
        <w:rPr>
          <w:i/>
        </w:rPr>
        <w:t>Prevent material dependency from becoming a mechanism of religious obedience.</w:t>
      </w:r>
    </w:p>
    <w:p>
      <w:pPr>
        <w:pStyle w:val="Heading2"/>
      </w:pPr>
      <w:r>
        <w:t>14.1 Separate agreements</w:t>
      </w:r>
    </w:p>
    <w:p>
      <w:r>
        <w:t>Housing, employment, tuition, stipends, loans, and community-residence arrangements shall use written agreements distinct from membership covenants and shall identify termination, notice, grievance, property, and payment terms.</w:t>
      </w:r>
    </w:p>
    <w:p>
      <w:pPr>
        <w:pStyle w:val="Heading2"/>
      </w:pPr>
      <w:r>
        <w:t>14.2 No total dependency by design</w:t>
      </w:r>
    </w:p>
    <w:p>
      <w:r>
        <w:t>The organization shall avoid structures in which one leader controls a person’s housing, employment, money, transportation, education, healthcare access, and social participation simultaneously.</w:t>
      </w:r>
    </w:p>
    <w:p>
      <w:pPr>
        <w:pStyle w:val="Heading2"/>
      </w:pPr>
      <w:r>
        <w:t>14.3 Employment rights</w:t>
      </w:r>
    </w:p>
    <w:p>
      <w:r>
        <w:t>Employees shall receive written job descriptions, compensation terms, supervision, complaint channels, and lawful wage practices. Spiritual language shall not be used to evade ordinary employment obligations.</w:t>
      </w:r>
    </w:p>
    <w:p>
      <w:pPr>
        <w:pStyle w:val="Heading2"/>
      </w:pPr>
      <w:r>
        <w:t>14.4 Communal property</w:t>
      </w:r>
    </w:p>
    <w:p>
      <w:r>
        <w:t>A person contributing property to a community shall receive clear written disclosure of whether the transfer is a gift, lease, loan, investment, or other arrangement and what, if anything, is returnable upon departure.</w:t>
      </w:r>
    </w:p>
    <w:p>
      <w:pPr>
        <w:pStyle w:val="Heading2"/>
      </w:pPr>
      <w:r>
        <w:t>14.5 Emergency transition</w:t>
      </w:r>
    </w:p>
    <w:p>
      <w:r>
        <w:t>Where loss of organizational housing or employment would create immediate vulnerability, the organization should use reasonable transition procedures rather than abrupt deprivation as punishment, subject to safety and law.</w:t>
      </w:r>
    </w:p>
    <w:p>
      <w:pPr>
        <w:pStyle w:val="Heading1"/>
      </w:pPr>
      <w:r>
        <w:t>Article XV. Transparency and Public Accountability</w:t>
      </w:r>
    </w:p>
    <w:p>
      <w:r>
        <w:rPr>
          <w:i/>
        </w:rPr>
        <w:t>Make key controls visible enough that members and outsiders can verify how power is constrained.</w:t>
      </w:r>
    </w:p>
    <w:p>
      <w:pPr>
        <w:pStyle w:val="Heading2"/>
      </w:pPr>
      <w:r>
        <w:t>15.1 Public governance information</w:t>
      </w:r>
    </w:p>
    <w:p>
      <w:r>
        <w:t>The organization should publish its governing principles, board roster, leadership-selection process, safeguarding commitments, complaint pathway, conflict policy, and a plain-language description of how senior leaders can be removed.</w:t>
      </w:r>
    </w:p>
    <w:p>
      <w:pPr>
        <w:pStyle w:val="Heading2"/>
      </w:pPr>
      <w:r>
        <w:t>15.2 Financial disclosure</w:t>
      </w:r>
    </w:p>
    <w:p>
      <w:r>
        <w:t>The organization should publish or make readily available annual financial summaries, the independent accountant’s report where applicable, executive compensation-setting methodology, and material related-party disclosures consistent with privacy and law.</w:t>
      </w:r>
    </w:p>
    <w:p>
      <w:pPr>
        <w:pStyle w:val="Heading2"/>
      </w:pPr>
      <w:r>
        <w:t>15.3 Material incidents</w:t>
      </w:r>
    </w:p>
    <w:p>
      <w:r>
        <w:t>The board shall adopt a crisis-disclosure policy addressing when serious substantiated misconduct, safeguarding failures, material fraud, or governance breakdowns require disclosure to members, donors, insurers, regulators, or the public.</w:t>
      </w:r>
    </w:p>
    <w:p>
      <w:pPr>
        <w:pStyle w:val="Heading2"/>
      </w:pPr>
      <w:r>
        <w:t>15.4 Corrections log</w:t>
      </w:r>
    </w:p>
    <w:p>
      <w:r>
        <w:t>Material corrections to public historical, scientific, financial, or organizational claims should be documented in a durable form rather than silently rewritten where doing so would obscure accountability.</w:t>
      </w:r>
    </w:p>
    <w:p>
      <w:pPr>
        <w:pStyle w:val="Heading2"/>
      </w:pPr>
      <w:r>
        <w:t>15.5 Policy access</w:t>
      </w:r>
    </w:p>
    <w:p>
      <w:r>
        <w:t>Current policies governing rights, complaints, safeguarding, discipline, and financial conflicts shall be accessible to persons subject to them.</w:t>
      </w:r>
    </w:p>
    <w:p>
      <w:pPr>
        <w:pStyle w:val="Heading1"/>
      </w:pPr>
      <w:r>
        <w:t>Article XVI. External Institutional Integrity Review</w:t>
      </w:r>
    </w:p>
    <w:p>
      <w:r>
        <w:rPr>
          <w:i/>
        </w:rPr>
        <w:t>Create recurring adversarial examination rather than relying on internal confidence.</w:t>
      </w:r>
    </w:p>
    <w:p>
      <w:pPr>
        <w:pStyle w:val="Heading2"/>
      </w:pPr>
      <w:r>
        <w:t>16.1 Frequency</w:t>
      </w:r>
    </w:p>
    <w:p>
      <w:r>
        <w:t>At least once every three years, and more often after major incidents or rapid growth, the board shall commission an external institutional integrity review.</w:t>
      </w:r>
    </w:p>
    <w:p>
      <w:pPr>
        <w:pStyle w:val="Heading2"/>
      </w:pPr>
      <w:r>
        <w:t>16.2 Review team</w:t>
      </w:r>
    </w:p>
    <w:p>
      <w:r>
        <w:t>The review should include expertise appropriate to organizational risk, such as nonprofit governance, safeguarding, financial controls, coercive-control/high-control dynamics, employment practices, and religious-studies or pastoral ethics.</w:t>
      </w:r>
    </w:p>
    <w:p>
      <w:pPr>
        <w:pStyle w:val="Heading2"/>
      </w:pPr>
      <w:r>
        <w:t>16.3 Mandate</w:t>
      </w:r>
    </w:p>
    <w:p>
      <w:r>
        <w:t>Reviewers shall be asked to identify how the organization could become coercive, abusive, financially exploitative, leader-centered, retaliatory, opaque, or unsafe notwithstanding its formal policies.</w:t>
      </w:r>
    </w:p>
    <w:p>
      <w:pPr>
        <w:pStyle w:val="Heading2"/>
      </w:pPr>
      <w:r>
        <w:t>16.4 Access</w:t>
      </w:r>
    </w:p>
    <w:p>
      <w:r>
        <w:t>Reviewers shall receive sufficient access to policies, board minutes, complaint statistics, financial controls, leadership structures, and representative interviews to conduct meaningful review, subject to legal privilege and privacy safeguards.</w:t>
      </w:r>
    </w:p>
    <w:p>
      <w:pPr>
        <w:pStyle w:val="Heading2"/>
      </w:pPr>
      <w:r>
        <w:t>16.5 Reporting</w:t>
      </w:r>
    </w:p>
    <w:p>
      <w:r>
        <w:t>The board shall receive the full report. A public or member-facing summary shall disclose material findings, remediation commitments, and completion status, with redactions only as reasonably necessary for safety, privacy, privilege, or law.</w:t>
      </w:r>
    </w:p>
    <w:p>
      <w:pPr>
        <w:pStyle w:val="Heading2"/>
      </w:pPr>
      <w:r>
        <w:t>16.6 Remediation tracking</w:t>
      </w:r>
    </w:p>
    <w:p>
      <w:r>
        <w:t>Material findings shall be assigned owners, deadlines, and board-level follow-up. Repeated unresolved findings shall trigger enhanced oversight.</w:t>
      </w:r>
    </w:p>
    <w:p>
      <w:pPr>
        <w:pStyle w:val="Heading1"/>
      </w:pPr>
      <w:r>
        <w:t>Article XVII. Entrenchment and Amendment</w:t>
      </w:r>
    </w:p>
    <w:p>
      <w:r>
        <w:rPr>
          <w:i/>
        </w:rPr>
        <w:t>Prevent a future charismatic majority from casually deleting the safeguards that constrain it.</w:t>
      </w:r>
    </w:p>
    <w:p>
      <w:pPr>
        <w:pStyle w:val="Heading2"/>
      </w:pPr>
      <w:r>
        <w:t>17.1 Tier I entrenched provisions</w:t>
      </w:r>
    </w:p>
    <w:p>
      <w:r>
        <w:t>Freedom of conscience, no infallible living authority, safe exit, non-retaliation, external reporting, board independence, conflict/recusal rules, safeguarding duties, independent investigation of senior leaders, and the right to criticize leadership are entrenched.</w:t>
      </w:r>
    </w:p>
    <w:p>
      <w:pPr>
        <w:pStyle w:val="Heading2"/>
      </w:pPr>
      <w:r>
        <w:t>17.2 Amendment threshold</w:t>
      </w:r>
    </w:p>
    <w:p>
      <w:r>
        <w:t>An entrenched provision may be amended only after advance publication of the proposed change and rationale, a waiting period of at least sixty days, two separate board votes at meetings separated by at least thirty days, and approval by at least eighty percent of all seated independent directors.</w:t>
      </w:r>
    </w:p>
    <w:p>
      <w:pPr>
        <w:pStyle w:val="Heading2"/>
      </w:pPr>
      <w:r>
        <w:t>17.3 No emergency suspension</w:t>
      </w:r>
    </w:p>
    <w:p>
      <w:r>
        <w:t>Entrenched provisions may not be suspended by executive emergency, prophetic declaration, doctrinal decree, unanimous staff agreement, donor demand, or founder instruction.</w:t>
      </w:r>
    </w:p>
    <w:p>
      <w:pPr>
        <w:pStyle w:val="Heading2"/>
      </w:pPr>
      <w:r>
        <w:t>17.4 Adverse-rights review</w:t>
      </w:r>
    </w:p>
    <w:p>
      <w:r>
        <w:t>Any proposed amendment that materially reduces participant rights, board independence, complaint access, financial controls, or safeguarding shall receive review by independent legal counsel before adoption and shall identify the rights being reduced.</w:t>
      </w:r>
    </w:p>
    <w:p>
      <w:pPr>
        <w:pStyle w:val="Heading2"/>
      </w:pPr>
      <w:r>
        <w:t>17.5 Member notice</w:t>
      </w:r>
    </w:p>
    <w:p>
      <w:r>
        <w:t>Where the organization has statutory or bylaw voting members, applicable member approval rights shall be honored in addition to these internal thresholds.</w:t>
      </w:r>
    </w:p>
    <w:p>
      <w:pPr>
        <w:pStyle w:val="Heading2"/>
      </w:pPr>
      <w:r>
        <w:t>17.6 Sunset resistance</w:t>
      </w:r>
    </w:p>
    <w:p>
      <w:r>
        <w:t>Entrenched protections do not expire automatically and shall not be converted to temporary policy by amendment of a lower-level document.</w:t>
      </w:r>
    </w:p>
    <w:p>
      <w:pPr>
        <w:pStyle w:val="Heading1"/>
      </w:pPr>
      <w:r>
        <w:t>Article XVIII. Implementation, Measurement, and Enforcement</w:t>
      </w:r>
    </w:p>
    <w:p>
      <w:r>
        <w:rPr>
          <w:i/>
        </w:rPr>
        <w:t>Turn the framework into living controls rather than a document that exists only on paper.</w:t>
      </w:r>
    </w:p>
    <w:p>
      <w:pPr>
        <w:pStyle w:val="Heading2"/>
      </w:pPr>
      <w:r>
        <w:t>18.1 Annual certification</w:t>
      </w:r>
    </w:p>
    <w:p>
      <w:r>
        <w:t>Senior leaders and directors shall annually certify conflicts, policy receipt, safeguarding obligations, non-retaliation duties, and disclosure of material related-party relationships.</w:t>
      </w:r>
    </w:p>
    <w:p>
      <w:pPr>
        <w:pStyle w:val="Heading2"/>
      </w:pPr>
      <w:r>
        <w:t>18.2 Training</w:t>
      </w:r>
    </w:p>
    <w:p>
      <w:r>
        <w:t>Directors, staff, clergy, teachers, counselors, and volunteers shall receive role-appropriate training before exercising authority and at periodic intervals thereafter.</w:t>
      </w:r>
    </w:p>
    <w:p>
      <w:pPr>
        <w:pStyle w:val="Heading2"/>
      </w:pPr>
      <w:r>
        <w:t>18.3 Dashboard</w:t>
      </w:r>
    </w:p>
    <w:p>
      <w:r>
        <w:t>The board shall receive at least quarterly integrity metrics, including complaints received, response times, retaliation allegations, safeguarding incidents, policy exceptions, related-party transactions, leadership turnover, financial-control exceptions, and overdue remediation items.</w:t>
      </w:r>
    </w:p>
    <w:p>
      <w:pPr>
        <w:pStyle w:val="Heading2"/>
      </w:pPr>
      <w:r>
        <w:t>18.4 Speak-up testing</w:t>
      </w:r>
    </w:p>
    <w:p>
      <w:r>
        <w:t>At least annually, the organization shall test whether participants know how to complain, whether channels bypass management, and whether persons reasonably fear retaliation.</w:t>
      </w:r>
    </w:p>
    <w:p>
      <w:pPr>
        <w:pStyle w:val="Heading2"/>
      </w:pPr>
      <w:r>
        <w:t>18.5 Policy exceptions</w:t>
      </w:r>
    </w:p>
    <w:p>
      <w:r>
        <w:t>Exceptions to integrity policies shall be documented, time-limited, justified, and approved at the level specified by policy. No exception may override an entrenched constitutional protection.</w:t>
      </w:r>
    </w:p>
    <w:p>
      <w:pPr>
        <w:pStyle w:val="Heading2"/>
      </w:pPr>
      <w:r>
        <w:t>18.6 Insurance and counsel</w:t>
      </w:r>
    </w:p>
    <w:p>
      <w:r>
        <w:t>The board shall periodically review appropriate insurance, including general liability, directors and officers, employment practices, abuse/molestation coverage where relevant, cyber/privacy coverage, and other risks with qualified professionals.</w:t>
      </w:r>
    </w:p>
    <w:p>
      <w:pPr>
        <w:pStyle w:val="Heading2"/>
      </w:pPr>
      <w:r>
        <w:t>18.7 Document hierarchy</w:t>
      </w:r>
    </w:p>
    <w:p>
      <w:r>
        <w:t>The organizational hierarchy shall be: applicable law and charter; entrenched constitutional protections; bylaws; board policies; management procedures; local practices. Lower-level instruments may add protections but may not contradict higher-level rights.</w:t>
      </w:r>
    </w:p>
    <w:p>
      <w:pPr>
        <w:pStyle w:val="Heading1"/>
      </w:pPr>
      <w:r>
        <w:t>Amendment Tiers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Tier</w:t>
            </w:r>
          </w:p>
        </w:tc>
        <w:tc>
          <w:tcPr>
            <w:tcW w:type="dxa" w:w="3312"/>
            <w:vAlign w:val="center"/>
          </w:tcPr>
          <w:p>
            <w:r>
              <w:rPr>
                <w:b/>
              </w:rPr>
              <w:t>Subject</w:t>
            </w:r>
          </w:p>
        </w:tc>
        <w:tc>
          <w:tcPr>
            <w:tcW w:type="dxa" w:w="3312"/>
            <w:vAlign w:val="center"/>
          </w:tcPr>
          <w:p>
            <w:r>
              <w:rPr>
                <w:b/>
              </w:rPr>
              <w:t>Minimum internal control</w:t>
            </w:r>
          </w:p>
        </w:tc>
        <w:trPr>
          <w:tblHeader/>
        </w:trPr>
      </w:tr>
      <w:tr>
        <w:tc>
          <w:tcPr>
            <w:tcW w:type="dxa" w:w="3312"/>
            <w:vAlign w:val="top"/>
          </w:tcPr>
          <w:p>
            <w:r>
              <w:t>Tier I — Entrenched constitutional protections</w:t>
            </w:r>
          </w:p>
        </w:tc>
        <w:tc>
          <w:tcPr>
            <w:tcW w:type="dxa" w:w="3312"/>
            <w:vAlign w:val="top"/>
          </w:tcPr>
          <w:p>
            <w:r>
              <w:t>Conscience, safe exit, non-retaliation, no infallible leader, independent board, safeguarding, independent senior-leader investigations, external reporting</w:t>
            </w:r>
          </w:p>
        </w:tc>
        <w:tc>
          <w:tcPr>
            <w:tcW w:type="dxa" w:w="3312"/>
            <w:vAlign w:val="top"/>
          </w:tcPr>
          <w:p>
            <w:r>
              <w:t>80% of all seated independent directors + two votes + 60-day publication + 30-day separation + counsel review for rights reductions</w:t>
            </w:r>
          </w:p>
        </w:tc>
      </w:tr>
      <w:tr>
        <w:tc>
          <w:tcPr>
            <w:tcW w:type="dxa" w:w="3312"/>
            <w:vAlign w:val="top"/>
          </w:tcPr>
          <w:p>
            <w:r>
              <w:t>Tier II — Bylaws / core governance</w:t>
            </w:r>
          </w:p>
        </w:tc>
        <w:tc>
          <w:tcPr>
            <w:tcW w:type="dxa" w:w="3312"/>
            <w:vAlign w:val="top"/>
          </w:tcPr>
          <w:p>
            <w:r>
              <w:t>Board committees, officer roles, election mechanics, quorum, ordinary discipline procedure</w:t>
            </w:r>
          </w:p>
        </w:tc>
        <w:tc>
          <w:tcPr>
            <w:tcW w:type="dxa" w:w="3312"/>
            <w:vAlign w:val="top"/>
          </w:tcPr>
          <w:p>
            <w:r>
              <w:t>Threshold in bylaws, recommended 2/3 board; legal review for material governance changes</w:t>
            </w:r>
          </w:p>
        </w:tc>
      </w:tr>
      <w:tr>
        <w:tc>
          <w:tcPr>
            <w:tcW w:type="dxa" w:w="3312"/>
            <w:vAlign w:val="top"/>
          </w:tcPr>
          <w:p>
            <w:r>
              <w:t>Tier III — Board policies</w:t>
            </w:r>
          </w:p>
        </w:tc>
        <w:tc>
          <w:tcPr>
            <w:tcW w:type="dxa" w:w="3312"/>
            <w:vAlign w:val="top"/>
          </w:tcPr>
          <w:p>
            <w:r>
              <w:t>Finance, conflicts, safeguarding procedures, complaint handling, records, pastoral ethics</w:t>
            </w:r>
          </w:p>
        </w:tc>
        <w:tc>
          <w:tcPr>
            <w:tcW w:type="dxa" w:w="3312"/>
            <w:vAlign w:val="top"/>
          </w:tcPr>
          <w:p>
            <w:r>
              <w:t>Board majority unless policy requires higher threshold; annual review</w:t>
            </w:r>
          </w:p>
        </w:tc>
      </w:tr>
      <w:tr>
        <w:tc>
          <w:tcPr>
            <w:tcW w:type="dxa" w:w="3312"/>
            <w:vAlign w:val="top"/>
          </w:tcPr>
          <w:p>
            <w:r>
              <w:t>Tier IV — Procedures</w:t>
            </w:r>
          </w:p>
        </w:tc>
        <w:tc>
          <w:tcPr>
            <w:tcW w:type="dxa" w:w="3312"/>
            <w:vAlign w:val="top"/>
          </w:tcPr>
          <w:p>
            <w:r>
              <w:t>Forms, routing, training cadence, operational workflows</w:t>
            </w:r>
          </w:p>
        </w:tc>
        <w:tc>
          <w:tcPr>
            <w:tcW w:type="dxa" w:w="3312"/>
            <w:vAlign w:val="top"/>
          </w:tcPr>
          <w:p>
            <w:r>
              <w:t>Management within delegated authority; cannot reduce higher-level rights</w:t>
            </w:r>
          </w:p>
        </w:tc>
      </w:tr>
    </w:tbl>
    <w:p/>
    <w:p>
      <w:pPr>
        <w:pStyle w:val="Heading1"/>
      </w:pPr>
      <w:r>
        <w:t>Separation-of-Powers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Domain</w:t>
            </w:r>
          </w:p>
        </w:tc>
        <w:tc>
          <w:tcPr>
            <w:tcW w:type="dxa" w:w="2484"/>
            <w:vAlign w:val="center"/>
          </w:tcPr>
          <w:p>
            <w:r>
              <w:rPr>
                <w:b/>
              </w:rPr>
              <w:t>Primary function</w:t>
            </w:r>
          </w:p>
        </w:tc>
        <w:tc>
          <w:tcPr>
            <w:tcW w:type="dxa" w:w="2484"/>
            <w:vAlign w:val="center"/>
          </w:tcPr>
          <w:p>
            <w:r>
              <w:rPr>
                <w:b/>
              </w:rPr>
              <w:t>Oversight</w:t>
            </w:r>
          </w:p>
        </w:tc>
        <w:tc>
          <w:tcPr>
            <w:tcW w:type="dxa" w:w="2484"/>
            <w:vAlign w:val="center"/>
          </w:tcPr>
          <w:p>
            <w:r>
              <w:rPr>
                <w:b/>
              </w:rPr>
              <w:t>Hard stop</w:t>
            </w:r>
          </w:p>
        </w:tc>
        <w:trPr>
          <w:tblHeader/>
        </w:trPr>
      </w:tr>
      <w:tr>
        <w:tc>
          <w:tcPr>
            <w:tcW w:type="dxa" w:w="2484"/>
            <w:vAlign w:val="top"/>
          </w:tcPr>
          <w:p>
            <w:r>
              <w:t>Doctrine / teaching</w:t>
            </w:r>
          </w:p>
        </w:tc>
        <w:tc>
          <w:tcPr>
            <w:tcW w:type="dxa" w:w="2484"/>
            <w:vAlign w:val="top"/>
          </w:tcPr>
          <w:p>
            <w:r>
              <w:t>Teaching or doctrine council</w:t>
            </w:r>
          </w:p>
        </w:tc>
        <w:tc>
          <w:tcPr>
            <w:tcW w:type="dxa" w:w="2484"/>
            <w:vAlign w:val="top"/>
          </w:tcPr>
          <w:p>
            <w:r>
              <w:t>Board ensures process integrity; does not manufacture belief</w:t>
            </w:r>
          </w:p>
        </w:tc>
        <w:tc>
          <w:tcPr>
            <w:tcW w:type="dxa" w:w="2484"/>
            <w:vAlign w:val="top"/>
          </w:tcPr>
          <w:p>
            <w:r>
              <w:t>No single leader may bind conscience by private revelation</w:t>
            </w:r>
          </w:p>
        </w:tc>
      </w:tr>
      <w:tr>
        <w:tc>
          <w:tcPr>
            <w:tcW w:type="dxa" w:w="2484"/>
            <w:vAlign w:val="top"/>
          </w:tcPr>
          <w:p>
            <w:r>
              <w:t>Executive management</w:t>
            </w:r>
          </w:p>
        </w:tc>
        <w:tc>
          <w:tcPr>
            <w:tcW w:type="dxa" w:w="2484"/>
            <w:vAlign w:val="top"/>
          </w:tcPr>
          <w:p>
            <w:r>
              <w:t>Chief executive / designated officers</w:t>
            </w:r>
          </w:p>
        </w:tc>
        <w:tc>
          <w:tcPr>
            <w:tcW w:type="dxa" w:w="2484"/>
            <w:vAlign w:val="top"/>
          </w:tcPr>
          <w:p>
            <w:r>
              <w:t>Board appoints, reviews, compensates, and removes executive</w:t>
            </w:r>
          </w:p>
        </w:tc>
        <w:tc>
          <w:tcPr>
            <w:tcW w:type="dxa" w:w="2484"/>
            <w:vAlign w:val="top"/>
          </w:tcPr>
          <w:p>
            <w:r>
              <w:t>Founder has no permanent veto</w:t>
            </w:r>
          </w:p>
        </w:tc>
      </w:tr>
      <w:tr>
        <w:tc>
          <w:tcPr>
            <w:tcW w:type="dxa" w:w="2484"/>
            <w:vAlign w:val="top"/>
          </w:tcPr>
          <w:p>
            <w:r>
              <w:t>Finance</w:t>
            </w:r>
          </w:p>
        </w:tc>
        <w:tc>
          <w:tcPr>
            <w:tcW w:type="dxa" w:w="2484"/>
            <w:vAlign w:val="top"/>
          </w:tcPr>
          <w:p>
            <w:r>
              <w:t>CFO/treasurer + finance committee</w:t>
            </w:r>
          </w:p>
        </w:tc>
        <w:tc>
          <w:tcPr>
            <w:tcW w:type="dxa" w:w="2484"/>
            <w:vAlign w:val="top"/>
          </w:tcPr>
          <w:p>
            <w:r>
              <w:t>Board approves budget, compensation, related-party transactions, external accountant</w:t>
            </w:r>
          </w:p>
        </w:tc>
        <w:tc>
          <w:tcPr>
            <w:tcW w:type="dxa" w:w="2484"/>
            <w:vAlign w:val="top"/>
          </w:tcPr>
          <w:p>
            <w:r>
              <w:t>Segregation of duties required</w:t>
            </w:r>
          </w:p>
        </w:tc>
      </w:tr>
      <w:tr>
        <w:tc>
          <w:tcPr>
            <w:tcW w:type="dxa" w:w="2484"/>
            <w:vAlign w:val="top"/>
          </w:tcPr>
          <w:p>
            <w:r>
              <w:t>Safeguarding</w:t>
            </w:r>
          </w:p>
        </w:tc>
        <w:tc>
          <w:tcPr>
            <w:tcW w:type="dxa" w:w="2484"/>
            <w:vAlign w:val="top"/>
          </w:tcPr>
          <w:p>
            <w:r>
              <w:t>Safeguarding lead / committee</w:t>
            </w:r>
          </w:p>
        </w:tc>
        <w:tc>
          <w:tcPr>
            <w:tcW w:type="dxa" w:w="2484"/>
            <w:vAlign w:val="top"/>
          </w:tcPr>
          <w:p>
            <w:r>
              <w:t>Independent board oversight; external authorities where required</w:t>
            </w:r>
          </w:p>
        </w:tc>
        <w:tc>
          <w:tcPr>
            <w:tcW w:type="dxa" w:w="2484"/>
            <w:vAlign w:val="top"/>
          </w:tcPr>
          <w:p>
            <w:r>
              <w:t>Accused leader has no control of response</w:t>
            </w:r>
          </w:p>
        </w:tc>
      </w:tr>
      <w:tr>
        <w:tc>
          <w:tcPr>
            <w:tcW w:type="dxa" w:w="2484"/>
            <w:vAlign w:val="top"/>
          </w:tcPr>
          <w:p>
            <w:r>
              <w:t>Complaints &amp; investigations</w:t>
            </w:r>
          </w:p>
        </w:tc>
        <w:tc>
          <w:tcPr>
            <w:tcW w:type="dxa" w:w="2484"/>
            <w:vAlign w:val="top"/>
          </w:tcPr>
          <w:p>
            <w:r>
              <w:t>Independent intake / investigator</w:t>
            </w:r>
          </w:p>
        </w:tc>
        <w:tc>
          <w:tcPr>
            <w:tcW w:type="dxa" w:w="2484"/>
            <w:vAlign w:val="top"/>
          </w:tcPr>
          <w:p>
            <w:r>
              <w:t>Board or independent committee receives senior-leader cases</w:t>
            </w:r>
          </w:p>
        </w:tc>
        <w:tc>
          <w:tcPr>
            <w:tcW w:type="dxa" w:w="2484"/>
            <w:vAlign w:val="top"/>
          </w:tcPr>
          <w:p>
            <w:r>
              <w:t>Chain of command can be bypassed</w:t>
            </w:r>
          </w:p>
        </w:tc>
      </w:tr>
      <w:tr>
        <w:tc>
          <w:tcPr>
            <w:tcW w:type="dxa" w:w="2484"/>
            <w:vAlign w:val="top"/>
          </w:tcPr>
          <w:p>
            <w:r>
              <w:t>Discipline</w:t>
            </w:r>
          </w:p>
        </w:tc>
        <w:tc>
          <w:tcPr>
            <w:tcW w:type="dxa" w:w="2484"/>
            <w:vAlign w:val="top"/>
          </w:tcPr>
          <w:p>
            <w:r>
              <w:t>Designated panel or authorized officer</w:t>
            </w:r>
          </w:p>
        </w:tc>
        <w:tc>
          <w:tcPr>
            <w:tcW w:type="dxa" w:w="2484"/>
            <w:vAlign w:val="top"/>
          </w:tcPr>
          <w:p>
            <w:r>
              <w:t>Appeal to separate person/body</w:t>
            </w:r>
          </w:p>
        </w:tc>
        <w:tc>
          <w:tcPr>
            <w:tcW w:type="dxa" w:w="2484"/>
            <w:vAlign w:val="top"/>
          </w:tcPr>
          <w:p>
            <w:r>
              <w:t>Investigator and final adjudicator separated</w:t>
            </w:r>
          </w:p>
        </w:tc>
      </w:tr>
      <w:tr>
        <w:tc>
          <w:tcPr>
            <w:tcW w:type="dxa" w:w="2484"/>
            <w:vAlign w:val="top"/>
          </w:tcPr>
          <w:p>
            <w:r>
              <w:t>External review</w:t>
            </w:r>
          </w:p>
        </w:tc>
        <w:tc>
          <w:tcPr>
            <w:tcW w:type="dxa" w:w="2484"/>
            <w:vAlign w:val="top"/>
          </w:tcPr>
          <w:p>
            <w:r>
              <w:t>Independent reviewers</w:t>
            </w:r>
          </w:p>
        </w:tc>
        <w:tc>
          <w:tcPr>
            <w:tcW w:type="dxa" w:w="2484"/>
            <w:vAlign w:val="top"/>
          </w:tcPr>
          <w:p>
            <w:r>
              <w:t>Board commissions and tracks remediation</w:t>
            </w:r>
          </w:p>
        </w:tc>
        <w:tc>
          <w:tcPr>
            <w:tcW w:type="dxa" w:w="2484"/>
            <w:vAlign w:val="top"/>
          </w:tcPr>
          <w:p>
            <w:r>
              <w:t>Reviewers report without management editing</w:t>
            </w:r>
          </w:p>
        </w:tc>
      </w:tr>
    </w:tbl>
    <w:p/>
    <w:p>
      <w:pPr>
        <w:pStyle w:val="Heading1"/>
      </w:pPr>
      <w:r>
        <w:t>High-Control Risk Early-Warning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Example signal</w:t>
            </w:r>
          </w:p>
        </w:tc>
        <w:tc>
          <w:tcPr>
            <w:tcW w:type="dxa" w:w="3312"/>
            <w:vAlign w:val="center"/>
          </w:tcPr>
          <w:p>
            <w:r>
              <w:rPr>
                <w:b/>
              </w:rPr>
              <w:t>Required response</w:t>
            </w:r>
          </w:p>
        </w:tc>
        <w:trPr>
          <w:tblHeader/>
        </w:trPr>
      </w:tr>
      <w:tr>
        <w:tc>
          <w:tcPr>
            <w:tcW w:type="dxa" w:w="3312"/>
            <w:vAlign w:val="top"/>
          </w:tcPr>
          <w:p>
            <w:r>
              <w:t>Leader centralization</w:t>
            </w:r>
          </w:p>
        </w:tc>
        <w:tc>
          <w:tcPr>
            <w:tcW w:type="dxa" w:w="3312"/>
            <w:vAlign w:val="top"/>
          </w:tcPr>
          <w:p>
            <w:r>
              <w:t>One person becomes doctrinal, financial, disciplinary, and governance endpoint</w:t>
            </w:r>
          </w:p>
        </w:tc>
        <w:tc>
          <w:tcPr>
            <w:tcW w:type="dxa" w:w="3312"/>
            <w:vAlign w:val="top"/>
          </w:tcPr>
          <w:p>
            <w:r>
              <w:t>Mandatory separation of powers; board executive session; external review trigger</w:t>
            </w:r>
          </w:p>
        </w:tc>
      </w:tr>
      <w:tr>
        <w:tc>
          <w:tcPr>
            <w:tcW w:type="dxa" w:w="3312"/>
            <w:vAlign w:val="top"/>
          </w:tcPr>
          <w:p>
            <w:r>
              <w:t>Isolation</w:t>
            </w:r>
          </w:p>
        </w:tc>
        <w:tc>
          <w:tcPr>
            <w:tcW w:type="dxa" w:w="3312"/>
            <w:vAlign w:val="top"/>
          </w:tcPr>
          <w:p>
            <w:r>
              <w:t>Members are discouraged from family, critics, outside media, or professionals</w:t>
            </w:r>
          </w:p>
        </w:tc>
        <w:tc>
          <w:tcPr>
            <w:tcW w:type="dxa" w:w="3312"/>
            <w:vAlign w:val="top"/>
          </w:tcPr>
          <w:p>
            <w:r>
              <w:t>Bill of Rights; no shunning; independent-advice right</w:t>
            </w:r>
          </w:p>
        </w:tc>
      </w:tr>
      <w:tr>
        <w:tc>
          <w:tcPr>
            <w:tcW w:type="dxa" w:w="3312"/>
            <w:vAlign w:val="top"/>
          </w:tcPr>
          <w:p>
            <w:r>
              <w:t>Revelation escalation</w:t>
            </w:r>
          </w:p>
        </w:tc>
        <w:tc>
          <w:tcPr>
            <w:tcW w:type="dxa" w:w="3312"/>
            <w:vAlign w:val="top"/>
          </w:tcPr>
          <w:p>
            <w:r>
              <w:t>Private spiritual claims begin functioning as commands</w:t>
            </w:r>
          </w:p>
        </w:tc>
        <w:tc>
          <w:tcPr>
            <w:tcW w:type="dxa" w:w="3312"/>
            <w:vAlign w:val="top"/>
          </w:tcPr>
          <w:p>
            <w:r>
              <w:t>Claim classification; doctrine process; no self-authenticating revelation</w:t>
            </w:r>
          </w:p>
        </w:tc>
      </w:tr>
      <w:tr>
        <w:tc>
          <w:tcPr>
            <w:tcW w:type="dxa" w:w="3312"/>
            <w:vAlign w:val="top"/>
          </w:tcPr>
          <w:p>
            <w:r>
              <w:t>Financial opacity</w:t>
            </w:r>
          </w:p>
        </w:tc>
        <w:tc>
          <w:tcPr>
            <w:tcW w:type="dxa" w:w="3312"/>
            <w:vAlign w:val="top"/>
          </w:tcPr>
          <w:p>
            <w:r>
              <w:t>Unclear compensation, related-party deals, cash controls, or designated gifts</w:t>
            </w:r>
          </w:p>
        </w:tc>
        <w:tc>
          <w:tcPr>
            <w:tcW w:type="dxa" w:w="3312"/>
            <w:vAlign w:val="top"/>
          </w:tcPr>
          <w:p>
            <w:r>
              <w:t>Disinterested approval; comparability data; external CPA; disclosures</w:t>
            </w:r>
          </w:p>
        </w:tc>
      </w:tr>
      <w:tr>
        <w:tc>
          <w:tcPr>
            <w:tcW w:type="dxa" w:w="3312"/>
            <w:vAlign w:val="top"/>
          </w:tcPr>
          <w:p>
            <w:r>
              <w:t>Retaliation</w:t>
            </w:r>
          </w:p>
        </w:tc>
        <w:tc>
          <w:tcPr>
            <w:tcW w:type="dxa" w:w="3312"/>
            <w:vAlign w:val="top"/>
          </w:tcPr>
          <w:p>
            <w:r>
              <w:t>Critics lose roles, housing, friendships, reputation, or access after reporting</w:t>
            </w:r>
          </w:p>
        </w:tc>
        <w:tc>
          <w:tcPr>
            <w:tcW w:type="dxa" w:w="3312"/>
            <w:vAlign w:val="top"/>
          </w:tcPr>
          <w:p>
            <w:r>
              <w:t>Protected activity definition; independent intake; retaliation as separate offense</w:t>
            </w:r>
          </w:p>
        </w:tc>
      </w:tr>
      <w:tr>
        <w:tc>
          <w:tcPr>
            <w:tcW w:type="dxa" w:w="3312"/>
            <w:vAlign w:val="top"/>
          </w:tcPr>
          <w:p>
            <w:r>
              <w:t>Safeguarding bypass</w:t>
            </w:r>
          </w:p>
        </w:tc>
        <w:tc>
          <w:tcPr>
            <w:tcW w:type="dxa" w:w="3312"/>
            <w:vAlign w:val="top"/>
          </w:tcPr>
          <w:p>
            <w:r>
              <w:t>Internal forgiveness or counseling substitutes for reporting</w:t>
            </w:r>
          </w:p>
        </w:tc>
        <w:tc>
          <w:tcPr>
            <w:tcW w:type="dxa" w:w="3312"/>
            <w:vAlign w:val="top"/>
          </w:tcPr>
          <w:p>
            <w:r>
              <w:t>Zero spiritual exemption; immediate external reporting when required</w:t>
            </w:r>
          </w:p>
        </w:tc>
      </w:tr>
      <w:tr>
        <w:tc>
          <w:tcPr>
            <w:tcW w:type="dxa" w:w="3312"/>
            <w:vAlign w:val="top"/>
          </w:tcPr>
          <w:p>
            <w:r>
              <w:t>Exit barriers</w:t>
            </w:r>
          </w:p>
        </w:tc>
        <w:tc>
          <w:tcPr>
            <w:tcW w:type="dxa" w:w="3312"/>
            <w:vAlign w:val="top"/>
          </w:tcPr>
          <w:p>
            <w:r>
              <w:t>Leaving triggers fees, threats, property loss, confidentiality weaponization, or directed shunning</w:t>
            </w:r>
          </w:p>
        </w:tc>
        <w:tc>
          <w:tcPr>
            <w:tcW w:type="dxa" w:w="3312"/>
            <w:vAlign w:val="top"/>
          </w:tcPr>
          <w:p>
            <w:r>
              <w:t>Exit article; ordinary contract treatment; privacy after exit</w:t>
            </w:r>
          </w:p>
        </w:tc>
      </w:tr>
      <w:tr>
        <w:tc>
          <w:tcPr>
            <w:tcW w:type="dxa" w:w="3312"/>
            <w:vAlign w:val="top"/>
          </w:tcPr>
          <w:p>
            <w:r>
              <w:t>Founder succession capture</w:t>
            </w:r>
          </w:p>
        </w:tc>
        <w:tc>
          <w:tcPr>
            <w:tcW w:type="dxa" w:w="3312"/>
            <w:vAlign w:val="top"/>
          </w:tcPr>
          <w:p>
            <w:r>
              <w:t>Founder appoints compliant board or family successor</w:t>
            </w:r>
          </w:p>
        </w:tc>
        <w:tc>
          <w:tcPr>
            <w:tcW w:type="dxa" w:w="3312"/>
            <w:vAlign w:val="top"/>
          </w:tcPr>
          <w:p>
            <w:r>
              <w:t>Independent nominations; no dynastic succession; founder recusal</w:t>
            </w:r>
          </w:p>
        </w:tc>
      </w:tr>
    </w:tbl>
    <w:p/>
    <w:p>
      <w:pPr>
        <w:pStyle w:val="Heading1"/>
      </w:pPr>
      <w:r>
        <w:t>Adoption Roadmap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Period</w:t>
            </w:r>
          </w:p>
        </w:tc>
        <w:tc>
          <w:tcPr>
            <w:tcW w:type="dxa" w:w="4968"/>
            <w:vAlign w:val="center"/>
          </w:tcPr>
          <w:p>
            <w:r>
              <w:rPr>
                <w:b/>
              </w:rPr>
              <w:t>Actions</w:t>
            </w:r>
          </w:p>
        </w:tc>
        <w:trPr>
          <w:tblHeader/>
        </w:trPr>
      </w:tr>
      <w:tr>
        <w:tc>
          <w:tcPr>
            <w:tcW w:type="dxa" w:w="4968"/>
            <w:vAlign w:val="top"/>
          </w:tcPr>
          <w:p>
            <w:r>
              <w:t>0–30 days</w:t>
            </w:r>
          </w:p>
        </w:tc>
        <w:tc>
          <w:tcPr>
            <w:tcW w:type="dxa" w:w="4968"/>
            <w:vAlign w:val="top"/>
          </w:tcPr>
          <w:p>
            <w:r>
              <w:t>Adopt interim Member Bill of Rights, Freedom of Conscience Covenant, non-retaliation rule, founder recusal rule, complaint channels, safeguarding baseline, conflicts policy; identify independent directors and counsel.</w:t>
            </w:r>
          </w:p>
        </w:tc>
      </w:tr>
      <w:tr>
        <w:tc>
          <w:tcPr>
            <w:tcW w:type="dxa" w:w="4968"/>
            <w:vAlign w:val="top"/>
          </w:tcPr>
          <w:p>
            <w:r>
              <w:t>31–60 days</w:t>
            </w:r>
          </w:p>
        </w:tc>
        <w:tc>
          <w:tcPr>
            <w:tcW w:type="dxa" w:w="4968"/>
            <w:vAlign w:val="top"/>
          </w:tcPr>
          <w:p>
            <w:r>
              <w:t>Conform charter/bylaws; create board committees; adopt compensation/related-party process; establish independent complaint intake; approve record-retention and evidence-preservation procedures; select safeguarding training.</w:t>
            </w:r>
          </w:p>
        </w:tc>
      </w:tr>
      <w:tr>
        <w:tc>
          <w:tcPr>
            <w:tcW w:type="dxa" w:w="4968"/>
            <w:vAlign w:val="top"/>
          </w:tcPr>
          <w:p>
            <w:r>
              <w:t>61–90 days</w:t>
            </w:r>
          </w:p>
        </w:tc>
        <w:tc>
          <w:tcPr>
            <w:tcW w:type="dxa" w:w="4968"/>
            <w:vAlign w:val="top"/>
          </w:tcPr>
          <w:p>
            <w:r>
              <w:t>Complete board and staff training; publish public accountability page; implement finance controls; test complaint pathway; complete child/vulnerable-person screening controls before programming.</w:t>
            </w:r>
          </w:p>
        </w:tc>
      </w:tr>
      <w:tr>
        <w:tc>
          <w:tcPr>
            <w:tcW w:type="dxa" w:w="4968"/>
            <w:vAlign w:val="top"/>
          </w:tcPr>
          <w:p>
            <w:r>
              <w:t>3–12 months</w:t>
            </w:r>
          </w:p>
        </w:tc>
        <w:tc>
          <w:tcPr>
            <w:tcW w:type="dxa" w:w="4968"/>
            <w:vAlign w:val="top"/>
          </w:tcPr>
          <w:p>
            <w:r>
              <w:t>Commission first external integrity review; obtain appropriate insurance; conduct compensation comparability review; publish first annual integrity and financial summary; remediate findings.</w:t>
            </w:r>
          </w:p>
        </w:tc>
      </w:tr>
      <w:tr>
        <w:tc>
          <w:tcPr>
            <w:tcW w:type="dxa" w:w="4968"/>
            <w:vAlign w:val="top"/>
          </w:tcPr>
          <w:p>
            <w:r>
              <w:t>Annually</w:t>
            </w:r>
          </w:p>
        </w:tc>
        <w:tc>
          <w:tcPr>
            <w:tcW w:type="dxa" w:w="4968"/>
            <w:vAlign w:val="top"/>
          </w:tcPr>
          <w:p>
            <w:r>
              <w:t>Director/officer certifications, policy review, safeguarding refresh, integrity dashboard, executive evaluation, compensation approval, conflict disclosures, public report.</w:t>
            </w:r>
          </w:p>
        </w:tc>
      </w:tr>
      <w:tr>
        <w:tc>
          <w:tcPr>
            <w:tcW w:type="dxa" w:w="4968"/>
            <w:vAlign w:val="top"/>
          </w:tcPr>
          <w:p>
            <w:r>
              <w:t>Every 3 years</w:t>
            </w:r>
          </w:p>
        </w:tc>
        <w:tc>
          <w:tcPr>
            <w:tcW w:type="dxa" w:w="4968"/>
            <w:vAlign w:val="top"/>
          </w:tcPr>
          <w:p>
            <w:r>
              <w:t>External institutional integrity review and governance stress test; reassess board independence and policy effectiveness.</w:t>
            </w:r>
          </w:p>
        </w:tc>
      </w:tr>
    </w:tbl>
    <w:p/>
    <w:p>
      <w:pPr>
        <w:pStyle w:val="Heading1"/>
      </w:pPr>
      <w:r>
        <w:t>Board Adoption Resolution</w:t>
      </w:r>
    </w:p>
    <w:p>
      <w:r>
        <w:rPr>
          <w:b/>
        </w:rPr>
        <w:t>PROPOSED RESOLUTION</w:t>
      </w:r>
    </w:p>
    <w:p>
      <w:r>
        <w:t>RESOLVED, that the Board adopts the Institutional Integrity &amp; Anti-Coercion Framework as a controlling governance standard, subject to conformity review against the charter, bylaws, applicable law, and advice of qualified counsel; and further RESOLVED, that any conflict between a lower-level policy and an entrenched protection shall be resolved in favor of the entrenched protection to the maximum extent permitted by law; and further RESOLVED, that management shall prepare an implementation register, assign accountable owners, and report remediation status to the Board until all founding controls are operational.</w:t>
      </w:r>
    </w:p>
    <w:p>
      <w:pPr>
        <w:pStyle w:val="Heading1"/>
      </w:pPr>
      <w:r>
        <w:t>Sources and Legal Review Notes</w:t>
      </w:r>
    </w:p>
    <w:p>
      <w:r>
        <w:t>This framework is a governance draft, not legal advice. It intentionally sets some internal standards above statutory minima. Before formal adoption, qualified counsel should harmonize it with the organization’s Tennessee charter/bylaws, federal tax-exemption posture, employment model, clergy-confidentiality rules, insurance terms, and any programs involving minors, vulnerable adults, housing, education, or communal living.</w:t>
      </w:r>
    </w:p>
    <w:p>
      <w:pPr>
        <w:pStyle w:val="ListBullet"/>
      </w:pPr>
      <w:r>
        <w:rPr>
          <w:b/>
        </w:rPr>
        <w:t xml:space="preserve">Internal Revenue Service, Publication 557 (rev. Jan. 2025): </w:t>
      </w:r>
      <w:r>
        <w:t>Federal overview of tax-exempt organizations and excess-benefit rules; includes conditions used for the rebuttable presumption of reasonableness.</w:t>
      </w:r>
    </w:p>
    <w:p>
      <w:pPr>
        <w:pStyle w:val="ListBullet"/>
      </w:pPr>
      <w:r>
        <w:rPr>
          <w:b/>
        </w:rPr>
        <w:t xml:space="preserve">Internal Revenue Service, Intermediate sanctions — Excess benefit transactions: </w:t>
      </w:r>
      <w:r>
        <w:t>Defines excess-benefit transactions involving disqualified persons and applicable tax-exempt organizations.</w:t>
      </w:r>
    </w:p>
    <w:p>
      <w:pPr>
        <w:pStyle w:val="ListBullet"/>
      </w:pPr>
      <w:r>
        <w:rPr>
          <w:b/>
        </w:rPr>
        <w:t xml:space="preserve">Internal Revenue Service, Instructions for Form 990 (2025): </w:t>
      </w:r>
      <w:r>
        <w:t>Describes reasonable compensation as the amount ordinarily paid for like services by like enterprises under like circumstances.</w:t>
      </w:r>
    </w:p>
    <w:p>
      <w:pPr>
        <w:pStyle w:val="ListBullet"/>
      </w:pPr>
      <w:r>
        <w:rPr>
          <w:b/>
        </w:rPr>
        <w:t xml:space="preserve">Tennessee Department of Children’s Services, Report Child Abuse: </w:t>
      </w:r>
      <w:r>
        <w:t>States that everyone in Tennessee is a mandated reporter and provides the statewide reporting process.</w:t>
      </w:r>
    </w:p>
    <w:p>
      <w:pPr>
        <w:pStyle w:val="ListBullet"/>
      </w:pPr>
      <w:r>
        <w:rPr>
          <w:b/>
        </w:rPr>
        <w:t xml:space="preserve">Tennessee Attorney General / Center for Nonprofit Management, What Every Board Member Should Know: A Guidebook for Tennessee Nonprofits: </w:t>
      </w:r>
      <w:r>
        <w:t>Board-governance guidance for Tennessee nonprofit organizations.</w:t>
      </w:r>
    </w:p>
    <w:p>
      <w:pPr>
        <w:pStyle w:val="ListBullet"/>
      </w:pPr>
      <w:r>
        <w:rPr>
          <w:b/>
        </w:rPr>
        <w:t xml:space="preserve">Tennessee Secretary of State, Business Forms &amp; Fees — Domestic Nonprofit Corporations: </w:t>
      </w:r>
      <w:r>
        <w:t>Current filing resources for Tennessee nonprofit corporations.</w:t>
      </w:r>
    </w:p>
    <w:p>
      <w:pPr>
        <w:pStyle w:val="ListBullet"/>
      </w:pPr>
      <w:r>
        <w:rPr>
          <w:b/>
        </w:rPr>
        <w:t xml:space="preserve">ECFA, Seven Standards of Responsible Stewardship, Standards 2–7: </w:t>
      </w:r>
      <w:r>
        <w:t>A useful voluntary benchmark for independent governance, financial oversight, transparency, compensation, related-party transactions, and stewardship; this framework uses those concepts without adopting ECFA’s religious eligibility criteria.</w:t>
      </w:r>
    </w:p>
    <w:p>
      <w:pPr>
        <w:pStyle w:val="Heading1"/>
      </w:pPr>
      <w:r>
        <w:t>Founding Adoption Checklist</w:t>
      </w:r>
    </w:p>
    <w:p>
      <w:r>
        <w:t>☐  Counsel has reviewed charter/bylaws for consistency with entrenched provisions.</w:t>
      </w:r>
    </w:p>
    <w:p>
      <w:r>
        <w:t>☐  Independent board seats and conflict definitions are operational.</w:t>
      </w:r>
    </w:p>
    <w:p>
      <w:r>
        <w:t>☐  Founder recusal, removal, and succession rules are written into governing documents.</w:t>
      </w:r>
    </w:p>
    <w:p>
      <w:r>
        <w:t>☐  Member/participant Bill of Rights is publicly accessible.</w:t>
      </w:r>
    </w:p>
    <w:p>
      <w:r>
        <w:t>☐  Complaint channels include at least one path that bypasses ordinary management.</w:t>
      </w:r>
    </w:p>
    <w:p>
      <w:r>
        <w:t>☐  Safeguarding rules, screening, reporting, and training are operational before programs involving minors begin.</w:t>
      </w:r>
    </w:p>
    <w:p>
      <w:r>
        <w:t>☐  Executive compensation and related-party transaction procedures use disinterested approval and comparability evidence.</w:t>
      </w:r>
    </w:p>
    <w:p>
      <w:r>
        <w:t>☐  Finance controls segregate authorization, custody, recording, and reconciliation.</w:t>
      </w:r>
    </w:p>
    <w:p>
      <w:r>
        <w:t>☐  Pastoral ethics and confidentiality limits are published.</w:t>
      </w:r>
    </w:p>
    <w:p>
      <w:r>
        <w:t>☐  Exit/non-shunning protections are communicated to members and leaders.</w:t>
      </w:r>
    </w:p>
    <w:p>
      <w:r>
        <w:t>☐  External integrity review date is calendared no later than three years after launch.</w:t>
      </w:r>
    </w:p>
    <w:p>
      <w:r>
        <w:t>☐  Quarterly integrity dashboard is assigned to a board committee.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Institutional Integrity &amp; Anti-Coercion Framework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