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2937"/>
          <w:sz w:val="50"/>
        </w:rPr>
        <w:t>Identity &amp; Naming Workbook</w:t>
      </w:r>
    </w:p>
    <w:p>
      <w:pPr>
        <w:jc w:val="center"/>
      </w:pPr>
      <w:r>
        <w:rPr>
          <w:color w:val="475569"/>
          <w:sz w:val="25"/>
        </w:rPr>
        <w:t>Legal Name Architecture, Public Identity, Candidate Matrix &amp; Selection Workflow</w:t>
      </w:r>
    </w:p>
    <w:p>
      <w:pPr>
        <w:jc w:val="center"/>
      </w:pPr>
      <w:r>
        <w:rPr>
          <w:b/>
        </w:rPr>
        <w:br/>
        <w:t>Version 0.4  |  September 19, 2026</w:t>
        <w:br/>
        <w:t>[[LEGAL_CORPORATE_NAME]] / [[PUBLIC_COMMUNITY_NAME]]</w:t>
      </w:r>
    </w:p>
    <w:p>
      <w:pPr>
        <w:pStyle w:val="SmallNote"/>
        <w:jc w:val="center"/>
      </w:pPr>
      <w:r>
        <w:br/>
        <w:t>Pre-filing working draft. Counsel/CPA and future Board review required before legal or tax submission. Not legal or tax advice.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pStyle w:val="Callout"/>
      </w:pPr>
      <w:r>
        <w:t>Move naming from brainstorming to a controlled institutional decision without forcing a premature legal identity.</w:t>
      </w:r>
    </w:p>
    <w:p>
      <w:r>
        <w:br w:type="page"/>
      </w:r>
    </w:p>
    <w:p>
      <w:pPr>
        <w:pStyle w:val="Heading1"/>
      </w:pPr>
      <w:r>
        <w:t>v0.4 Selected Baseline - Provisional Organizational Decisions</w:t>
      </w:r>
    </w:p>
    <w:p>
      <w:r>
        <w:t>These are design defaults for drafting. They do not become legally operative until adopted/filed by the appropriate persons.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tblHeader w:val="true"/>
          <w:tblHeader w:val="true"/>
        </w:trP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Topic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Working decision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Why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Tennessee corporation type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Public benefit religious nonprofit corporation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Intended religious, educational and charitable purposes serve public rather than mutual/private benefit.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Statutory members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statutory members at formation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Avoids creating a corporate electorate before a real community exists; participant rights remain protected by charter/bylaws/policies.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Board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5-seat formation target; 7-11 mature board; &gt;=2/3 independent mature board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Tennessee minimum is 3; stronger internal standard distributes power and supports founder accountability.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Founder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Founder + President/Executive Director + Director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Separates historical founder status from corporate sovereignty while allowing operational leadership.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Chair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Independent person other than Founder/President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Prevents executive and board oversight from collapsing into one office.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Secretary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Separate person from President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Tennessee law requires President and Secretary and forbids one person from holding both offices simultaneously.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Treasurer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Prefer independent/separate person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Financial authority should not be concentrated with spiritual/executive authority.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Federal application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Full Form 1023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Provides a detailed record appropriate to a complex religious/educational/charitable organization.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Initial public-charity class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509(a)(1)/170(b)(1)(A)(vi), subject to actual funding model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Intended reliance on donations/grants/public support is compatible with this classification; verify projections before filing.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Church classification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Defer until actual congregation/services/government/worship facts exist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IRS applies a facts-and-circumstances church analysis and generally expects a congregation or religious membership group meeting for worship.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Founder compensation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Initially unpaid except policy-compliant expense reimbursement; later prospective reasonable compensation after independent approval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Avoids self-dealing while preserving a path to legitimate paid full-time leadership.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Fiscal year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December 31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Selected by Founder.</w:t>
            </w:r>
          </w:p>
        </w:tc>
      </w:tr>
      <w:tr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Filing sequence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Prepare -&gt; recruit board -&gt; select name -&gt; counsel review -&gt; file TN charter -&gt; organize -&gt; EIN -&gt; banking -&gt; Form 1023 -&gt; public launch</w:t>
            </w:r>
          </w:p>
        </w:tc>
        <w:tc>
          <w:tcPr>
            <w:tcW w:type="dxa" w:w="3389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Reduces avoidable amendments and avoids launching high-risk programs before controls exist.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Identity &amp; Naming Architecture</w:t>
      </w:r>
    </w:p>
    <w:p>
      <w:pPr>
        <w:pStyle w:val="Heading2"/>
      </w:pPr>
      <w:r>
        <w:t>Objective</w:t>
      </w:r>
    </w:p>
    <w:p>
      <w:r>
        <w:t>Choose a name that can serve a serious religious community, research/publication institution, charitable organization, clergy/formation program, and eventually a physical community without sounding denominational, grandiose, authoritarian, or artificially ancient.</w:t>
      </w:r>
    </w:p>
    <w:p>
      <w:pPr>
        <w:pStyle w:val="Heading2"/>
      </w:pPr>
      <w:r>
        <w:t>Recommended naming architecture</w:t>
      </w:r>
    </w:p>
    <w:p>
      <w:r>
        <w:t xml:space="preserve">Use a </w:t>
      </w:r>
      <w:r>
        <w:rPr>
          <w:b/>
        </w:rPr>
        <w:t>same-root two-level architecture</w:t>
      </w:r>
      <w:r>
        <w:t xml:space="preserve"> unless a later reason emerges to create separate legal entities:</w:t>
      </w:r>
    </w:p>
    <w:p>
      <w:pPr>
        <w:pStyle w:val="ListBullet"/>
      </w:pPr>
      <w:r>
        <w:rPr>
          <w:b/>
        </w:rPr>
        <w:t>Legal corporation:</w:t>
      </w:r>
      <w:r>
        <w:t xml:space="preserve"> </w:t>
      </w:r>
      <w:r>
        <w:rPr>
          <w:rFonts w:ascii="Aptos Mono" w:hAnsi="Aptos Mono"/>
          <w:sz w:val="17"/>
        </w:rPr>
        <w:t>[[PUBLIC_NAME]], Inc.</w:t>
      </w:r>
      <w:r>
        <w:t xml:space="preserve"> or another counsel-approved legal form using the same distinctive root.</w:t>
      </w:r>
    </w:p>
    <w:p>
      <w:pPr>
        <w:pStyle w:val="ListBullet"/>
      </w:pPr>
      <w:r>
        <w:rPr>
          <w:b/>
        </w:rPr>
        <w:t>Public/community name:</w:t>
      </w:r>
      <w:r>
        <w:t xml:space="preserve"> </w:t>
      </w:r>
      <w:r>
        <w:rPr>
          <w:rFonts w:ascii="Aptos Mono" w:hAnsi="Aptos Mono"/>
          <w:sz w:val="17"/>
        </w:rPr>
        <w:t>[[PUBLIC_NAME]]</w:t>
      </w:r>
      <w:r>
        <w:t>.</w:t>
      </w:r>
    </w:p>
    <w:p>
      <w:pPr>
        <w:pStyle w:val="ListBullet"/>
      </w:pPr>
      <w:r>
        <w:rPr>
          <w:b/>
        </w:rPr>
        <w:t>Descriptive line:</w:t>
      </w:r>
      <w:r>
        <w:t xml:space="preserve"> a non-legal descriptor such as *A community of worship, inquiry, service, and formation.*</w:t>
      </w:r>
    </w:p>
    <w:p>
      <w:pPr>
        <w:pStyle w:val="ListBullet"/>
      </w:pPr>
      <w:r>
        <w:rPr>
          <w:b/>
        </w:rPr>
        <w:t>Programs:</w:t>
      </w:r>
      <w:r>
        <w:t xml:space="preserve"> research institute, publications, benevolence program, retreat program, clergy formation, and eventual residential/community programs can carry subordinate program names.</w:t>
      </w:r>
    </w:p>
    <w:p>
      <w:r>
        <w:t>This is simpler and more transparent than creating a neutral corporation whose relationship to a differently named religious community is hard for donors or participants to understand.</w:t>
      </w:r>
    </w:p>
    <w:p>
      <w:pPr>
        <w:pStyle w:val="Heading2"/>
      </w:pPr>
      <w:r>
        <w:t>Name tests</w:t>
      </w:r>
    </w:p>
    <w:p>
      <w:r>
        <w:t>A serious candidate should pass all of the following:</w:t>
      </w:r>
    </w:p>
    <w:p>
      <w:pPr>
        <w:ind w:left="346" w:hanging="259"/>
      </w:pPr>
      <w:r>
        <w:t xml:space="preserve">1.  </w:t>
      </w:r>
      <w:r>
        <w:rPr>
          <w:b/>
        </w:rPr>
        <w:t>Tradition-transcending:</w:t>
      </w:r>
      <w:r>
        <w:t xml:space="preserve"> does not imply that the organization is merely a church, synagogue, mosque, temple, monastery, or a branch of an existing denomination.</w:t>
      </w:r>
    </w:p>
    <w:p>
      <w:pPr>
        <w:ind w:left="346" w:hanging="259"/>
      </w:pPr>
      <w:r>
        <w:t xml:space="preserve">2.  </w:t>
      </w:r>
      <w:r>
        <w:rPr>
          <w:b/>
        </w:rPr>
        <w:t>Religiously meaningful:</w:t>
      </w:r>
      <w:r>
        <w:t xml:space="preserve"> does not sound like a consulting firm, software company, political organization, or academic center only.</w:t>
      </w:r>
    </w:p>
    <w:p>
      <w:pPr>
        <w:ind w:left="346" w:hanging="259"/>
      </w:pPr>
      <w:r>
        <w:t xml:space="preserve">3.  </w:t>
      </w:r>
      <w:r>
        <w:rPr>
          <w:b/>
        </w:rPr>
        <w:t>Inquiry-compatible:</w:t>
      </w:r>
      <w:r>
        <w:t xml:space="preserve"> permits genuine research, historical criticism, doubt, and revision rather than implying possession of final truth.</w:t>
      </w:r>
    </w:p>
    <w:p>
      <w:pPr>
        <w:ind w:left="346" w:hanging="259"/>
      </w:pPr>
      <w:r>
        <w:t xml:space="preserve">4.  </w:t>
      </w:r>
      <w:r>
        <w:rPr>
          <w:b/>
        </w:rPr>
        <w:t>Community-compatible:</w:t>
      </w:r>
      <w:r>
        <w:t xml:space="preserve"> can name people who gather, worship, learn, serve, and care for one another - not merely a website or journal.</w:t>
      </w:r>
    </w:p>
    <w:p>
      <w:pPr>
        <w:ind w:left="346" w:hanging="259"/>
      </w:pPr>
      <w:r>
        <w:t xml:space="preserve">5.  </w:t>
      </w:r>
      <w:r>
        <w:rPr>
          <w:b/>
        </w:rPr>
        <w:t>Non-authoritarian signal:</w:t>
      </w:r>
      <w:r>
        <w:t xml:space="preserve"> avoids language of chosen elites, hidden grades, masters, unquestionable revelation, absolute truth, remnant identity, or founder possession.</w:t>
      </w:r>
    </w:p>
    <w:p>
      <w:pPr>
        <w:ind w:left="346" w:hanging="259"/>
      </w:pPr>
      <w:r>
        <w:t xml:space="preserve">6.  </w:t>
      </w:r>
      <w:r>
        <w:rPr>
          <w:b/>
        </w:rPr>
        <w:t>Plain pronunciation:</w:t>
      </w:r>
      <w:r>
        <w:t xml:space="preserve"> understandable when heard once and easy to spell/search.</w:t>
      </w:r>
    </w:p>
    <w:p>
      <w:pPr>
        <w:ind w:left="346" w:hanging="259"/>
      </w:pPr>
      <w:r>
        <w:t xml:space="preserve">7.  </w:t>
      </w:r>
      <w:r>
        <w:rPr>
          <w:b/>
        </w:rPr>
        <w:t>Expandable:</w:t>
      </w:r>
      <w:r>
        <w:t xml:space="preserve"> still works if the organization later has local assemblies, clergy, publications, schools/programs, retreats, property, and charitable work.</w:t>
      </w:r>
    </w:p>
    <w:p>
      <w:pPr>
        <w:ind w:left="346" w:hanging="259"/>
      </w:pPr>
      <w:r>
        <w:t xml:space="preserve">8.  </w:t>
      </w:r>
      <w:r>
        <w:rPr>
          <w:b/>
        </w:rPr>
        <w:t>Legally distinct:</w:t>
      </w:r>
      <w:r>
        <w:t xml:space="preserve"> Tennessee requires the corporate name to be distinguishable on the Secretary of State's records and prohibits misleading claims of affiliation/sponsorship.</w:t>
      </w:r>
    </w:p>
    <w:p>
      <w:pPr>
        <w:ind w:left="346" w:hanging="259"/>
      </w:pPr>
      <w:r>
        <w:t xml:space="preserve">9.  </w:t>
      </w:r>
      <w:r>
        <w:rPr>
          <w:b/>
        </w:rPr>
        <w:t>Digitally distinct:</w:t>
      </w:r>
      <w:r>
        <w:t xml:space="preserve"> reasonable domain/search availability after final candidate screening.</w:t>
      </w:r>
    </w:p>
    <w:p>
      <w:pPr>
        <w:ind w:left="346" w:hanging="259"/>
      </w:pPr>
      <w:r>
        <w:t xml:space="preserve">10.  </w:t>
      </w:r>
      <w:r>
        <w:rPr>
          <w:b/>
        </w:rPr>
        <w:t>Trademark-aware:</w:t>
      </w:r>
      <w:r>
        <w:t xml:space="preserve"> final selection receives a trademark/conflict check beyond a general web search.</w:t>
      </w:r>
    </w:p>
    <w:p>
      <w:pPr>
        <w:pStyle w:val="Heading2"/>
      </w:pPr>
      <w:r>
        <w:t>Terms to use carefully</w:t>
      </w:r>
    </w:p>
    <w:p>
      <w:r>
        <w:t>Terms such as *church*, *synagogue*, *mosque*, *temple*, *ecclesia/ekklesia*, *masjid*, and *sangha* carry valuable histories but also signal a specific tradition or institutional form. They can appear in comparative study or local program language without becoming the umbrella identity.</w:t>
      </w:r>
    </w:p>
    <w:p>
      <w:r>
        <w:t>Words such as *order*, *elect*, *remnant*, *master*, *final revelation*, *one true*, *initiates*, and similar exclusivist/graded-authority terms should not be adopted merely to make a young religion sound ancient or authoritative.</w:t>
      </w:r>
    </w:p>
    <w:p>
      <w:pPr>
        <w:pStyle w:val="Heading2"/>
      </w:pPr>
      <w:r>
        <w:t>Naming workflow</w:t>
      </w:r>
    </w:p>
    <w:p>
      <w:pPr>
        <w:ind w:left="346" w:hanging="259"/>
      </w:pPr>
      <w:r>
        <w:t>1.  Select 3-5 finalists from the candidate matrix.</w:t>
      </w:r>
    </w:p>
    <w:p>
      <w:pPr>
        <w:ind w:left="346" w:hanging="259"/>
      </w:pPr>
      <w:r>
        <w:t>2.  Test each aloud in sentences: "I attend ___," "___ published this report," "___ provides pastoral care," "___ is raising funds for land," and "___ removed its founder from office under its bylaws."</w:t>
      </w:r>
    </w:p>
    <w:p>
      <w:pPr>
        <w:ind w:left="346" w:hanging="259"/>
      </w:pPr>
      <w:r>
        <w:t>3.  Run Tennessee entity-name search and reserve only after a finalist is chosen.</w:t>
      </w:r>
    </w:p>
    <w:p>
      <w:pPr>
        <w:ind w:left="346" w:hanging="259"/>
      </w:pPr>
      <w:r>
        <w:t>4.  Run federal/state trademark screening and common-law web search.</w:t>
      </w:r>
    </w:p>
    <w:p>
      <w:pPr>
        <w:ind w:left="346" w:hanging="259"/>
      </w:pPr>
      <w:r>
        <w:t>5.  Check domain/social availability.</w:t>
      </w:r>
    </w:p>
    <w:p>
      <w:pPr>
        <w:ind w:left="346" w:hanging="259"/>
      </w:pPr>
      <w:r>
        <w:t>6.  Conduct a small outside perception test with people who know nothing about the project.</w:t>
      </w:r>
    </w:p>
    <w:p>
      <w:pPr>
        <w:ind w:left="346" w:hanging="259"/>
      </w:pPr>
      <w:r>
        <w:t>7.  Choose legal/public spelling and create a naming-resolution record.</w:t>
      </w:r>
    </w:p>
    <w:p>
      <w:pPr>
        <w:pStyle w:val="Heading2"/>
      </w:pPr>
      <w:r>
        <w:t>Tennessee facts relevant to naming</w:t>
      </w:r>
    </w:p>
    <w:p>
      <w:r>
        <w:t>Current Tennessee law requires a nonprofit corporate name to be distinguishable on the Secretary of State's records and restricts language that falsely implies affiliation or authorization. A name can currently be reserved for four months. The Tennessee Secretary of State currently lists a $20 name-reservation fee and a $100 domestic nonprofit charter filing fee. Re-check immediately before filing.</w:t>
      </w:r>
    </w:p>
    <w:p>
      <w:pPr>
        <w:pStyle w:val="Heading1"/>
        <w:pageBreakBefore/>
      </w:pPr>
      <w:r>
        <w:t>Name Candidate Matrix - Working Round 1</w:t>
      </w:r>
    </w:p>
    <w:p>
      <w:r>
        <w:t xml:space="preserve">This is a </w:t>
      </w:r>
      <w:r>
        <w:rPr>
          <w:b/>
        </w:rPr>
        <w:t>creative and collision-screening worksheet</w:t>
      </w:r>
      <w:r>
        <w:t>, not trademark or legal clearance. The web screen was performed September 19,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Candidate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Institutional fit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Strength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Main caution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2E8F0"/>
          </w:tcPr>
          <w:p>
            <w:pPr>
              <w:spacing w:before="0" w:after="0"/>
            </w:pPr>
            <w:r>
              <w:rPr>
                <w:b/>
                <w:sz w:val="15"/>
              </w:rPr>
              <w:t>Limited web-screen status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**Assembly of Sacred Inquiry**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Religious community + research + worship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Clearly combines communal gathering with disciplined inquiry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"Sacred Inquiry" is used by an existing religion/spirituality blog; exact full phrase did not surface prominently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**Advance to finalist screen**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**Community of Sacred Inquiry**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Community-forward, less hierarchical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Warm and accessible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Same "Sacred Inquiry" root collision; sounds slightly less like an organized religious body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**Advance to finalist screen**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**House of Sacred Inquiry**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Physical/digital religious house + scholarship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Scales well to a place and institution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"House" may imply a physical site before one exists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**Advance to finalist screen**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**Shared Horizon Assembly**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Plural perspectives under one community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Strong metaphor for inquiry without doctrinal closure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"Shared Horizon" is used in consulting/other contexts; less explicitly religious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**Advance with caution**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**Open Horizon Assembly**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Openness, transcendence, future orientation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Neutral across traditions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May sound educational/civic rather than religious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**Advance with caution**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**Threshold Assembly**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 community at the boundary between traditions and inquiry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Distinctive and memorable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"Threshold assembly" is also an industrial phrase; "threshold" can sound esoteric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**Secondary candidate**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**Fellowship of Sacred Inquiry**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Community and shared practice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Warm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"Fellowship" reads Christian to many U.S. audiences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**Secondary candidate**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**The Sacred Commons**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Shared sacred life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Strong concept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Already used by an active church/community and other projects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**Do not advance**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**The Common Assembly**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Neutral communal term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Simple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Existing U.S. 501(c)(3) uses this exact name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**Do not advance**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**Open Sanctuary**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Welcoming spiritual place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Strong public meaning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Multiple active religious/spiritual organizations use it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**Do not advance**</w:t>
            </w:r>
          </w:p>
        </w:tc>
      </w:tr>
      <w:tr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**Common Sanctuary**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Shared religious refuge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Strong concept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Existing religious community uses it</w:t>
            </w:r>
          </w:p>
        </w:tc>
        <w:tc>
          <w:tcPr>
            <w:tcW w:type="dxa" w:w="203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**Do not advance**</w:t>
            </w:r>
          </w:p>
        </w:tc>
      </w:tr>
    </w:tbl>
    <w:p>
      <w:pPr>
        <w:spacing w:after="0"/>
      </w:pPr>
    </w:p>
    <w:p>
      <w:pPr>
        <w:pStyle w:val="Heading2"/>
      </w:pPr>
      <w:r>
        <w:t>Current working leader</w:t>
      </w:r>
    </w:p>
    <w:p>
      <w:r>
        <w:rPr>
          <w:b/>
        </w:rPr>
        <w:t>Assembly of Sacred Inquiry</w:t>
      </w:r>
      <w:r>
        <w:t xml:space="preserve"> is the strongest *working* candidate because "assembly" describes a gathered people without committing the project to a single inherited institutional form, while "sacred inquiry" preserves the project's commitment to religious seriousness and continuing investigation.</w:t>
      </w:r>
    </w:p>
    <w:p>
      <w:r>
        <w:t>It should remain a working candidate until Tennessee name, trademark, domain, and broader common-law screening are completed.</w:t>
      </w:r>
    </w:p>
    <w:p>
      <w:pPr>
        <w:pStyle w:val="Heading2"/>
      </w:pPr>
      <w:r>
        <w:t>Alternative architecture if the final community name is more poetic</w:t>
      </w:r>
    </w:p>
    <w:p>
      <w:r>
        <w:t>If a highly symbolic public name is later chosen, the legal entity can still use a transparent descriptive form such as:</w:t>
      </w:r>
    </w:p>
    <w:p>
      <w:r>
        <w:rPr>
          <w:rFonts w:ascii="Aptos Mono" w:hAnsi="Aptos Mono"/>
          <w:sz w:val="17"/>
        </w:rPr>
        <w:t>[[DISTINCTIVE_NAME]] Religious and Charitable Corporation, Inc.</w:t>
      </w:r>
    </w:p>
    <w:p>
      <w:r>
        <w:t xml:space="preserve">while publicly using </w:t>
      </w:r>
      <w:r>
        <w:rPr>
          <w:rFonts w:ascii="Aptos Mono" w:hAnsi="Aptos Mono"/>
          <w:sz w:val="17"/>
        </w:rPr>
        <w:t>[[DISTINCTIVE_NAME]]</w:t>
      </w:r>
      <w:r>
        <w:t>. Counsel should confirm the final legal suffix/style and whether an assumed-name filing is needed.</w:t>
      </w:r>
    </w:p>
    <w:p>
      <w:pPr>
        <w:pStyle w:val="Heading1"/>
        <w:pageBreakBefore/>
      </w:pPr>
      <w:r>
        <w:t>Open Decisions Register - After v0.4</w:t>
      </w:r>
    </w:p>
    <w:p>
      <w:pPr>
        <w:pStyle w:val="Heading2"/>
      </w:pPr>
      <w:r>
        <w:t>Decisions the Founder must ultimately make or help make</w:t>
      </w:r>
    </w:p>
    <w:p>
      <w:pPr>
        <w:pStyle w:val="Heading3"/>
      </w:pPr>
      <w:r>
        <w:t>Identity</w:t>
      </w:r>
    </w:p>
    <w:p>
      <w:pPr>
        <w:pStyle w:val="ListBullet"/>
      </w:pPr>
      <w:r>
        <w:t>[ ] Select 3-5 name finalists.</w:t>
      </w:r>
    </w:p>
    <w:p>
      <w:pPr>
        <w:pStyle w:val="ListBullet"/>
      </w:pPr>
      <w:r>
        <w:t>[ ] Select final public/legal name after clearance.</w:t>
      </w:r>
    </w:p>
    <w:p>
      <w:pPr>
        <w:pStyle w:val="Heading3"/>
      </w:pPr>
      <w:r>
        <w:t>People</w:t>
      </w:r>
    </w:p>
    <w:p>
      <w:pPr>
        <w:pStyle w:val="ListBullet"/>
      </w:pPr>
      <w:r>
        <w:t>[ ] Identify at least two additional directors (legal minimum).</w:t>
      </w:r>
    </w:p>
    <w:p>
      <w:pPr>
        <w:pStyle w:val="ListBullet"/>
      </w:pPr>
      <w:r>
        <w:t>[ ] Preferably identify four additional directors (formation target).</w:t>
      </w:r>
    </w:p>
    <w:p>
      <w:pPr>
        <w:pStyle w:val="ListBullet"/>
      </w:pPr>
      <w:r>
        <w:t>[ ] Identify a Secretary separate from the President.</w:t>
      </w:r>
    </w:p>
    <w:p>
      <w:pPr>
        <w:pStyle w:val="ListBullet"/>
      </w:pPr>
      <w:r>
        <w:t>[ ] Identify independent Chair candidate.</w:t>
      </w:r>
    </w:p>
    <w:p>
      <w:pPr>
        <w:pStyle w:val="Heading3"/>
      </w:pPr>
      <w:r>
        <w:t>Activities</w:t>
      </w:r>
    </w:p>
    <w:p>
      <w:pPr>
        <w:pStyle w:val="ListBullet"/>
      </w:pPr>
      <w:r>
        <w:t>[ ] Confirm which listed programs are genuinely planned for the first 12-24 months rather than aspirations.</w:t>
      </w:r>
    </w:p>
    <w:p>
      <w:pPr>
        <w:pStyle w:val="ListBullet"/>
      </w:pPr>
      <w:r>
        <w:t>[ ] Confirm worship/gathering format and expected frequency.</w:t>
      </w:r>
    </w:p>
    <w:p>
      <w:pPr>
        <w:pStyle w:val="ListBullet"/>
      </w:pPr>
      <w:r>
        <w:t>[ ] Confirm whether children's programming is planned before or after Form 1023 filing.</w:t>
      </w:r>
    </w:p>
    <w:p>
      <w:pPr>
        <w:pStyle w:val="ListBullet"/>
      </w:pPr>
      <w:r>
        <w:t>[ ] Decide whether ordination is an early program or later-stage program.</w:t>
      </w:r>
    </w:p>
    <w:p>
      <w:pPr>
        <w:pStyle w:val="ListBullet"/>
      </w:pPr>
      <w:r>
        <w:t>[ ] Keep housing/intentional-community work in development stage until a concrete legal model exists.</w:t>
      </w:r>
    </w:p>
    <w:p>
      <w:pPr>
        <w:pStyle w:val="Heading3"/>
      </w:pPr>
      <w:r>
        <w:t>Money</w:t>
      </w:r>
    </w:p>
    <w:p>
      <w:pPr>
        <w:pStyle w:val="ListBullet"/>
      </w:pPr>
      <w:r>
        <w:t>[ ] Complete initial three-year budget assumptions.</w:t>
      </w:r>
    </w:p>
    <w:p>
      <w:pPr>
        <w:pStyle w:val="ListBullet"/>
      </w:pPr>
      <w:r>
        <w:t>[ ] Confirm expected fundraising channels and whether fees will be charged for any programs.</w:t>
      </w:r>
    </w:p>
    <w:p>
      <w:pPr>
        <w:pStyle w:val="ListBullet"/>
      </w:pPr>
      <w:r>
        <w:t>[ ] Determine when a salaried Founder/President role becomes financially feasible; the Board, not Founder, sets the amount.</w:t>
      </w:r>
    </w:p>
    <w:p>
      <w:pPr>
        <w:pStyle w:val="Heading3"/>
      </w:pPr>
      <w:r>
        <w:t>Filing</w:t>
      </w:r>
    </w:p>
    <w:p>
      <w:pPr>
        <w:pStyle w:val="ListBullet"/>
      </w:pPr>
      <w:r>
        <w:t>[ ] Insert registered/principal office immediately before Tennessee filing.</w:t>
      </w:r>
    </w:p>
    <w:p>
      <w:pPr>
        <w:pStyle w:val="ListBullet"/>
      </w:pPr>
      <w:r>
        <w:t>[ ] Obtain counsel review of charter/bylaws and high-risk programs.</w:t>
      </w:r>
    </w:p>
    <w:p>
      <w:pPr>
        <w:pStyle w:val="ListBullet"/>
      </w:pPr>
      <w:r>
        <w:t>[ ] After incorporation, obtain EIN and finalize Form 1023 evidence.</w:t>
      </w:r>
    </w:p>
    <w:p>
      <w:pPr>
        <w:pStyle w:val="Heading2"/>
      </w:pPr>
      <w:r>
        <w:t>Decisions intentionally *not* required yet</w:t>
      </w:r>
    </w:p>
    <w:p>
      <w:pPr>
        <w:pStyle w:val="ListBullet"/>
      </w:pPr>
      <w:r>
        <w:t>exact future land/property location;</w:t>
      </w:r>
    </w:p>
    <w:p>
      <w:pPr>
        <w:pStyle w:val="ListBullet"/>
      </w:pPr>
      <w:r>
        <w:t>detailed residential community rules;</w:t>
      </w:r>
    </w:p>
    <w:p>
      <w:pPr>
        <w:pStyle w:val="ListBullet"/>
      </w:pPr>
      <w:r>
        <w:t>final church classification;</w:t>
      </w:r>
    </w:p>
    <w:p>
      <w:pPr>
        <w:pStyle w:val="ListBullet"/>
      </w:pPr>
      <w:r>
        <w:t>a permanent worship building;</w:t>
      </w:r>
    </w:p>
    <w:p>
      <w:pPr>
        <w:pStyle w:val="ListBullet"/>
      </w:pPr>
      <w:r>
        <w:t>a mature clergy hierarchy;</w:t>
      </w:r>
    </w:p>
    <w:p>
      <w:pPr>
        <w:pStyle w:val="ListBullet"/>
      </w:pPr>
      <w:r>
        <w:t>a complete long-term doctrine;</w:t>
      </w:r>
    </w:p>
    <w:p>
      <w:pPr>
        <w:pStyle w:val="ListBullet"/>
      </w:pPr>
      <w:r>
        <w:t>a seven-person board on day one, provided Tennessee's minimum and the formation plan are satisfied.</w:t>
      </w:r>
    </w:p>
    <w:p>
      <w:pPr>
        <w:pStyle w:val="Heading1"/>
        <w:pageBreakBefore/>
      </w:pPr>
      <w:r>
        <w:t>Current Source Notes - v0.4</w:t>
      </w:r>
    </w:p>
    <w:p>
      <w:r>
        <w:rPr>
          <w:b/>
        </w:rPr>
        <w:t>Checked:</w:t>
      </w:r>
      <w:r>
        <w:t xml:space="preserve"> September 19, 2026. Re-check before filing.</w:t>
      </w:r>
    </w:p>
    <w:p>
      <w:pPr>
        <w:pStyle w:val="Heading2"/>
      </w:pPr>
      <w:r>
        <w:t>Tennessee</w:t>
      </w:r>
    </w:p>
    <w:p>
      <w:pPr>
        <w:pStyle w:val="ListBullet"/>
      </w:pPr>
      <w:r>
        <w:t>Tenn. Code Ann. § 48-52-102 (2025), Charter - public/mutual benefit status, religious-corporation statement, registered agent/office, incorporator, principal office, nonprofit statement, member/nonmember statement, dissolution provisions: https://law.justia.com/codes/tennessee/title-48/nonprofit-corporations/chapter-52/section-48-52-102/</w:t>
      </w:r>
    </w:p>
    <w:p>
      <w:pPr>
        <w:pStyle w:val="ListBullet"/>
      </w:pPr>
      <w:r>
        <w:t>Tenn. Code Ann. § 48-54-101 (2025), Corporate name - distinguishability and restrictions on false affiliation/sponsorship: https://law.justia.com/codes/tennessee/title-48/nonprofit-corporations/chapter-54/section-48-54-101/</w:t>
      </w:r>
    </w:p>
    <w:p>
      <w:pPr>
        <w:pStyle w:val="ListBullet"/>
      </w:pPr>
      <w:r>
        <w:t>Tenn. Code Ann. § 48-54-102 (2025), Reserved name - four-month reservation: https://law.justia.com/codes/tennessee/title-48/nonprofit-corporations/chapter-54/section-48-54-102/</w:t>
      </w:r>
    </w:p>
    <w:p>
      <w:pPr>
        <w:pStyle w:val="ListBullet"/>
      </w:pPr>
      <w:r>
        <w:t>Tennessee Secretary of State Business Forms &amp; Fees - current list shows $20 nonprofit name reservation and $100 nonprofit charter filing: https://sos.tn.gov/businesses/forms-and-fees</w:t>
      </w:r>
    </w:p>
    <w:p>
      <w:pPr>
        <w:pStyle w:val="ListBullet"/>
      </w:pPr>
      <w:r>
        <w:t>Tenn. Code Ann. § 48-58-103 (2025) - board must have at least three natural persons: https://law.justia.com/codes/tennessee/title-48/nonprofit-corporations/chapter-58/part-1/section-48-58-103/</w:t>
      </w:r>
    </w:p>
    <w:p>
      <w:pPr>
        <w:pStyle w:val="ListBullet"/>
      </w:pPr>
      <w:r>
        <w:t>Tenn. Code Ann. § 48-58-104 (2025) - nonmember corporation directors elected/appointed/designated as charter/bylaws provide: https://law.justia.com/codes/tennessee/title-48/nonprofit-corporations/chapter-58/part-1/section-48-58-104/</w:t>
      </w:r>
    </w:p>
    <w:p>
      <w:pPr>
        <w:pStyle w:val="ListBullet"/>
      </w:pPr>
      <w:r>
        <w:t>Tenn. Code Ann. § 48-58-401 (2025) - every nonprofit has a President and Secretary; same individual cannot simultaneously hold both: https://law.justia.com/codes/tennessee/title-48/nonprofit-corporations/chapter-58/part-4/section-48-58-401/</w:t>
      </w:r>
    </w:p>
    <w:p>
      <w:pPr>
        <w:pStyle w:val="Heading2"/>
      </w:pPr>
      <w:r>
        <w:t>IRS</w:t>
      </w:r>
    </w:p>
    <w:p>
      <w:pPr>
        <w:pStyle w:val="ListBullet"/>
      </w:pPr>
      <w:r>
        <w:t>Instructions for Form 1023 - activities narrative, financial projections, public-charity classifications, church Schedule A, compensation/conflicts: https://www.irs.gov/instructions/i1023</w:t>
      </w:r>
    </w:p>
    <w:p>
      <w:pPr>
        <w:pStyle w:val="ListBullet"/>
      </w:pPr>
      <w:r>
        <w:t>Form 1023 narrative details: https://www.irs.gov/charities-non-profits/form-1023-detail-required-in-narrative-description-of-activities</w:t>
      </w:r>
    </w:p>
    <w:p>
      <w:pPr>
        <w:pStyle w:val="ListBullet"/>
      </w:pPr>
      <w:r>
        <w:t>Form 1023 required financial information: https://www.irs.gov/charities-non-profits/form-1023-required-financial-information</w:t>
      </w:r>
    </w:p>
    <w:p>
      <w:pPr>
        <w:pStyle w:val="ListBullet"/>
      </w:pPr>
      <w:r>
        <w:t>Form 1023 compensation/financial relationships: https://www.irs.gov/charities-non-profits/form-1023-required-information-about-compensation-and-other-financial-information</w:t>
      </w:r>
    </w:p>
    <w:p>
      <w:pPr>
        <w:pStyle w:val="ListBullet"/>
      </w:pPr>
      <w:r>
        <w:t>Form 1023 conflict-policy purpose: https://www.irs.gov/charities-non-profits/form-1023-purpose-of-conflict-of-interest-policy</w:t>
      </w:r>
    </w:p>
    <w:p>
      <w:pPr>
        <w:pStyle w:val="ListBullet"/>
      </w:pPr>
      <w:r>
        <w:t>Form 1023-EZ instructions - applicant seeking church recognition is ineligible for 1023-EZ: https://www.irs.gov/instructions/i1023ez</w:t>
      </w:r>
    </w:p>
    <w:p>
      <w:pPr>
        <w:pStyle w:val="ListBullet"/>
      </w:pPr>
      <w:r>
        <w:t>Form 1023 user fee - currently $600, paid through Pay.gov; subject to change: https://www.irs.gov/charities-non-profits/form-1023-and-1023-ez-amount-of-user-fee</w:t>
      </w:r>
    </w:p>
    <w:p>
      <w:pPr>
        <w:pStyle w:val="ListBullet"/>
      </w:pPr>
      <w:r>
        <w:t>Public charity classification overview: https://www.irs.gov/charities-non-profits/determine-your-foundation-classification</w:t>
      </w:r>
    </w:p>
    <w:p>
      <w:pPr>
        <w:pStyle w:val="Heading2"/>
      </w:pPr>
      <w:r>
        <w:t>Limited public-name collision screen</w:t>
      </w:r>
    </w:p>
    <w:p>
      <w:r>
        <w:t>General web searches identified active/current use of "The Common Assembly," "The Sacred Commons," "Open Sanctuary," "Common Sanctuary," and "The Sacred Inquiry." This is not a trademark or Tennessee-entity clearance and is only a reason not to prioritize those exact identities.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Institutional Integrity v0.4 | Pre-Filing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6473"/>
      <w:sz w:val="16"/>
    </w:rPr>
  </w:style>
  <w:style w:type="paragraph" w:customStyle="1" w:styleId="Callout">
    <w:name w:val="Callout"/>
    <w:pPr>
      <w:spacing w:before="120" w:after="120"/>
      <w:ind w:left="360" w:right="288"/>
    </w:pPr>
    <w:rPr>
      <w:rFonts w:ascii="Aptos" w:hAnsi="Aptos"/>
      <w:i/>
      <w:color w:val="1E406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