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Pre-Filing Execution Supplement</w:t>
      </w:r>
    </w:p>
    <w:p>
      <w:pPr>
        <w:jc w:val="center"/>
      </w:pPr>
      <w:r>
        <w:rPr>
          <w:color w:val="475569"/>
          <w:sz w:val="24"/>
        </w:rPr>
        <w:t>Name Clearance, Tennessee Filing, Benevolence Controls &amp; Intellectual Property Records</w:t>
      </w:r>
    </w:p>
    <w:p>
      <w:pPr>
        <w:jc w:val="center"/>
      </w:pPr>
      <w:r>
        <w:rPr>
          <w:b/>
          <w:sz w:val="18"/>
        </w:rPr>
        <w:t>Version 0.4  |  September 19, 2026</w:t>
        <w:br/>
        <w:t>[[LEGAL_CORPORATE_NAME]] / [[PUBLIC_COMMUNITY_NAME]]</w:t>
      </w:r>
    </w:p>
    <w:p>
      <w:r>
        <w:rPr>
          <w:color w:val="64748B"/>
          <w:sz w:val="15"/>
        </w:rPr>
        <w:t>Pre-filing working draft. Counsel/CPA and future Board review required before legal or tax submission. Not legal or tax advice.</w:t>
      </w:r>
    </w:p>
    <w:p>
      <w:r>
        <w:br w:type="page"/>
      </w:r>
    </w:p>
    <w:p>
      <w:pPr>
        <w:pStyle w:val="Heading1"/>
      </w:pPr>
      <w:r>
        <w:t>Purpose</w:t>
      </w:r>
    </w:p>
    <w:p>
      <w:r>
        <w:rPr>
          <w:i/>
        </w:rPr>
        <w:t>Complete the pre-filing controls that can be designed before a final name, additional directors, real addresses, or budget assumptions exist.</w:t>
      </w:r>
    </w:p>
    <w:p>
      <w:r>
        <w:br w:type="page"/>
      </w:r>
    </w:p>
    <w:p>
      <w:pPr>
        <w:pStyle w:val="Heading1"/>
      </w:pPr>
      <w:r>
        <w:t>Final Name Clearance Checklist</w:t>
      </w:r>
    </w:p>
    <w:p>
      <w:r>
        <w:rPr>
          <w:b/>
        </w:rPr>
        <w:t>Purpose:</w:t>
      </w:r>
      <w:r>
        <w:t xml:space="preserve"> Convert a three-name finalist list into one filing candidate without treating a web search as legal clearance.</w:t>
      </w:r>
    </w:p>
    <w:p>
      <w:pPr>
        <w:pStyle w:val="Heading2"/>
      </w:pPr>
      <w:r>
        <w:t>Gate 1 - Identity fit</w:t>
      </w:r>
    </w:p>
    <w:p>
      <w:r>
        <w:t>For each finalist, record:</w:t>
      </w:r>
    </w:p>
    <w:p>
      <w:pPr>
        <w:pStyle w:val="ListBullet"/>
      </w:pPr>
      <w:r>
        <w:t>exact public spelling, capitalization, punctuation, and pronunciation;</w:t>
      </w:r>
    </w:p>
    <w:p>
      <w:pPr>
        <w:pStyle w:val="ListBullet"/>
      </w:pPr>
      <w:r>
        <w:t>proposed Tennessee corporate name and legal suffix;</w:t>
      </w:r>
    </w:p>
    <w:p>
      <w:pPr>
        <w:pStyle w:val="ListBullet"/>
      </w:pPr>
      <w:r>
        <w:t>one-sentence description: [[NAME]] is a religious community devoted to worship, inquiry, formation, service, and responsible study.;</w:t>
      </w:r>
    </w:p>
    <w:p>
      <w:pPr>
        <w:pStyle w:val="ListBullet"/>
      </w:pPr>
      <w:r>
        <w:t>whether the name still works for research/publication, pastoral care, charitable service, clergy formation, property, and local assemblies;</w:t>
      </w:r>
    </w:p>
    <w:p>
      <w:pPr>
        <w:pStyle w:val="ListBullet"/>
      </w:pPr>
      <w:r>
        <w:t>whether a reasonable outsider could mistake the organization for an existing denomination, government body, university, or another organization.</w:t>
      </w:r>
    </w:p>
    <w:p>
      <w:r>
        <w:t>Reject a candidate that requires a long explanation merely to avoid a misleading impression.</w:t>
      </w:r>
    </w:p>
    <w:p>
      <w:pPr>
        <w:pStyle w:val="Heading2"/>
      </w:pPr>
      <w:r>
        <w:t>Gate 2 - Tennessee entity screen</w:t>
      </w:r>
    </w:p>
    <w:p>
      <w:r>
        <w:t>Immediately before selection/filing:</w:t>
      </w:r>
    </w:p>
    <w:p>
      <w:r>
        <w:t>1. Search the Tennessee Secretary of State business database for the exact name and confusingly similar roots.</w:t>
      </w:r>
    </w:p>
    <w:p>
      <w:r>
        <w:t>2. Confirm that the proposed corporate name is distinguishable on the Secretary of State's records.</w:t>
      </w:r>
    </w:p>
    <w:p>
      <w:r>
        <w:t>3. Review language for false implications of governmental or organizational affiliation/sponsorship.</w:t>
      </w:r>
    </w:p>
    <w:p>
      <w:r>
        <w:t>4. If the candidate is selected but filing will not occur promptly, consider the current four-month name-reservation mechanism.</w:t>
      </w:r>
    </w:p>
    <w:p>
      <w:r>
        <w:t>5. Save a dated search record or screenshot in the permanent formation file.</w:t>
      </w:r>
    </w:p>
    <w:p>
      <w:r>
        <w:t xml:space="preserve">Current Tennessee SOS fee schedule checked September 19, 2026: domestic nonprofit name reservation </w:t>
      </w:r>
      <w:r>
        <w:rPr>
          <w:b/>
        </w:rPr>
        <w:t>$20</w:t>
      </w:r>
      <w:r>
        <w:t xml:space="preserve">; nonprofit charter </w:t>
      </w:r>
      <w:r>
        <w:rPr>
          <w:b/>
        </w:rPr>
        <w:t>$100</w:t>
      </w:r>
      <w:r>
        <w:t>. Re-check immediately before payment.</w:t>
      </w:r>
    </w:p>
    <w:p>
      <w:pPr>
        <w:pStyle w:val="Heading2"/>
      </w:pPr>
      <w:r>
        <w:t>Gate 3 - Trademark and common-law conflict screen</w:t>
      </w:r>
    </w:p>
    <w:p>
      <w:pPr>
        <w:pStyle w:val="ListBullet"/>
      </w:pPr>
      <w:r>
        <w:t>Search USPTO federal trademark records for exact and similar wording in relevant service classes.</w:t>
      </w:r>
    </w:p>
    <w:p>
      <w:pPr>
        <w:pStyle w:val="ListBullet"/>
      </w:pPr>
      <w:r>
        <w:t>Search state trademark/business records where counsel recommends.</w:t>
      </w:r>
    </w:p>
    <w:p>
      <w:pPr>
        <w:pStyle w:val="ListBullet"/>
      </w:pPr>
      <w:r>
        <w:t>Search the open web, news, social platforms, nonprofit directories, religious directories, books/publications, podcasts, and domain history for common-law users.</w:t>
      </w:r>
    </w:p>
    <w:p>
      <w:pPr>
        <w:pStyle w:val="ListBullet"/>
      </w:pPr>
      <w:r>
        <w:t>Search singular/plural, spacing, hyphenation, abbreviations, phonetic equivalents, and distinctive root words separately.</w:t>
      </w:r>
    </w:p>
    <w:p>
      <w:pPr>
        <w:pStyle w:val="ListBullet"/>
      </w:pPr>
      <w:r>
        <w:t>Escalate any material same-field use to trademark counsel before selection.</w:t>
      </w:r>
    </w:p>
    <w:p>
      <w:pPr>
        <w:pStyle w:val="Heading2"/>
      </w:pPr>
      <w:r>
        <w:t>Gate 4 - Digital identity</w:t>
      </w:r>
    </w:p>
    <w:p>
      <w:r>
        <w:t>For each surviving finalist, record availability or current ownership of:</w:t>
      </w:r>
    </w:p>
    <w:p>
      <w:pPr>
        <w:pStyle w:val="ListBullet"/>
      </w:pPr>
      <w:r>
        <w:t>primary .org and reasonable alternate domain(s);</w:t>
      </w:r>
    </w:p>
    <w:p>
      <w:pPr>
        <w:pStyle w:val="ListBullet"/>
      </w:pPr>
      <w:r>
        <w:t>common social handles;</w:t>
      </w:r>
    </w:p>
    <w:p>
      <w:pPr>
        <w:pStyle w:val="ListBullet"/>
      </w:pPr>
      <w:r>
        <w:t>major search-engine result ambiguity;</w:t>
      </w:r>
    </w:p>
    <w:p>
      <w:pPr>
        <w:pStyle w:val="ListBullet"/>
      </w:pPr>
      <w:r>
        <w:t>email-domain usability;</w:t>
      </w:r>
    </w:p>
    <w:p>
      <w:pPr>
        <w:pStyle w:val="ListBullet"/>
      </w:pPr>
      <w:r>
        <w:t>obvious typo/confusion risks.</w:t>
      </w:r>
    </w:p>
    <w:p>
      <w:r>
        <w:t xml:space="preserve">Domain availability is </w:t>
      </w:r>
      <w:r>
        <w:rPr>
          <w:b/>
        </w:rPr>
        <w:t>not</w:t>
      </w:r>
      <w:r>
        <w:t xml:space="preserve"> trademark clearance and a trademark result is </w:t>
      </w:r>
      <w:r>
        <w:rPr>
          <w:b/>
        </w:rPr>
        <w:t>not</w:t>
      </w:r>
      <w:r>
        <w:t xml:space="preserve"> domain ownership.</w:t>
      </w:r>
    </w:p>
    <w:p>
      <w:pPr>
        <w:pStyle w:val="Heading2"/>
      </w:pPr>
      <w:r>
        <w:t>Gate 5 - Outside perception test</w:t>
      </w:r>
    </w:p>
    <w:p>
      <w:r>
        <w:t>Give the name, without explanation, to at least five people who are not involved in the project. Ask:</w:t>
      </w:r>
    </w:p>
    <w:p>
      <w:r>
        <w:t>1. What kind of organization do you think this is?</w:t>
      </w:r>
    </w:p>
    <w:p>
      <w:r>
        <w:t>2. Does it sound religious, political, commercial, academic, or something else?</w:t>
      </w:r>
    </w:p>
    <w:p>
      <w:r>
        <w:t>3. Does it sound controlling, secretive, grandiose, exclusionary, or misleading?</w:t>
      </w:r>
    </w:p>
    <w:p>
      <w:r>
        <w:t>4. Can you pronounce and spell it after hearing it once?</w:t>
      </w:r>
    </w:p>
    <w:p>
      <w:r>
        <w:t>5. What existing organization or tradition does it remind you of?</w:t>
      </w:r>
    </w:p>
    <w:p>
      <w:r>
        <w:t>Record responses; do not argue with them.</w:t>
      </w:r>
    </w:p>
    <w:p>
      <w:pPr>
        <w:pStyle w:val="Heading2"/>
      </w:pPr>
      <w:r>
        <w:t>Gate 6 - Selection record</w:t>
      </w:r>
    </w:p>
    <w:p>
      <w:r>
        <w:t>The final board/authorized organizer should retain a short naming memo stating:</w:t>
      </w:r>
    </w:p>
    <w:p>
      <w:pPr>
        <w:pStyle w:val="ListBullet"/>
      </w:pPr>
      <w:r>
        <w:t>finalists considered;</w:t>
      </w:r>
    </w:p>
    <w:p>
      <w:pPr>
        <w:pStyle w:val="ListBullet"/>
      </w:pPr>
      <w:r>
        <w:t>searches performed and dates;</w:t>
      </w:r>
    </w:p>
    <w:p>
      <w:pPr>
        <w:pStyle w:val="ListBullet"/>
      </w:pPr>
      <w:r>
        <w:t>conflicts found and disposition;</w:t>
      </w:r>
    </w:p>
    <w:p>
      <w:pPr>
        <w:pStyle w:val="ListBullet"/>
      </w:pPr>
      <w:r>
        <w:t>public name;</w:t>
      </w:r>
    </w:p>
    <w:p>
      <w:pPr>
        <w:pStyle w:val="ListBullet"/>
      </w:pPr>
      <w:r>
        <w:t>legal corporate name;</w:t>
      </w:r>
    </w:p>
    <w:p>
      <w:pPr>
        <w:pStyle w:val="ListBullet"/>
      </w:pPr>
      <w:r>
        <w:t>assumed-name filing decision if relevant;</w:t>
      </w:r>
    </w:p>
    <w:p>
      <w:pPr>
        <w:pStyle w:val="ListBullet"/>
      </w:pPr>
      <w:r>
        <w:t>domain(s) authorized for acquisition;</w:t>
      </w:r>
    </w:p>
    <w:p>
      <w:pPr>
        <w:pStyle w:val="ListBullet"/>
      </w:pPr>
      <w:r>
        <w:t>counsel review, if obtained;</w:t>
      </w:r>
    </w:p>
    <w:p>
      <w:pPr>
        <w:pStyle w:val="ListBullet"/>
      </w:pPr>
      <w:r>
        <w:t>approving resolution/date.</w:t>
      </w:r>
    </w:p>
    <w:p>
      <w:pPr>
        <w:pStyle w:val="Heading2"/>
      </w:pPr>
      <w:r>
        <w:t>Current working shortlist</w:t>
      </w:r>
    </w:p>
    <w:p>
      <w:r>
        <w:t xml:space="preserve">The v0.4 creative screen presently advances </w:t>
      </w:r>
      <w:r>
        <w:rPr>
          <w:b/>
        </w:rPr>
        <w:t>Assembly of Sacred Inquiry</w:t>
      </w:r>
      <w:r>
        <w:t xml:space="preserve">, </w:t>
      </w:r>
      <w:r>
        <w:rPr>
          <w:b/>
        </w:rPr>
        <w:t>Community of Sacred Inquiry</w:t>
      </w:r>
      <w:r>
        <w:t xml:space="preserve">, and </w:t>
      </w:r>
      <w:r>
        <w:rPr>
          <w:b/>
        </w:rPr>
        <w:t>House of Sacred Inquiry</w:t>
      </w:r>
      <w:r>
        <w:t xml:space="preserve"> as the three strongest same-root finalists. None is legally cleared yet. No corporate filing, domain purchase, or public launch should describe any candidate as final before this checklist is completed.</w:t>
      </w:r>
    </w:p>
    <w:p>
      <w:r>
        <w:br w:type="page"/>
      </w:r>
    </w:p>
    <w:p>
      <w:pPr>
        <w:pStyle w:val="Heading1"/>
      </w:pPr>
      <w:r>
        <w:t>Tennessee Pre-Filing Checklist - Domestic Public Benefit Religious Nonprofit</w:t>
      </w:r>
    </w:p>
    <w:p>
      <w:r>
        <w:rPr>
          <w:b/>
        </w:rPr>
        <w:t>Working filing posture:</w:t>
      </w:r>
      <w:r>
        <w:t xml:space="preserve"> Tennessee public benefit religious nonprofit corporation; no statutory members at formation; fiscal year December 31.</w:t>
      </w:r>
    </w:p>
    <w:p>
      <w:r>
        <w:t>This is a drafting/control checklist, not a substitute for Tennessee counsel or the Secretary of State's current filing instructions.</w:t>
      </w:r>
    </w:p>
    <w:p>
      <w:pPr>
        <w:pStyle w:val="Heading2"/>
      </w:pPr>
      <w:r>
        <w:t>A. Human prerequisites</w:t>
      </w:r>
    </w:p>
    <w:p>
      <w:pPr>
        <w:pStyle w:val="ListBullet"/>
      </w:pPr>
      <w:r>
        <w:t>- [ ] Final legal corporate name cleared.</w:t>
      </w:r>
    </w:p>
    <w:p>
      <w:pPr>
        <w:pStyle w:val="ListBullet"/>
      </w:pPr>
      <w:r>
        <w:t>- [ ] Incorporator identified and legal name confirmed.</w:t>
      </w:r>
    </w:p>
    <w:p>
      <w:pPr>
        <w:pStyle w:val="ListBullet"/>
      </w:pPr>
      <w:r>
        <w:t>- [ ] At least three natural-person directors identified for organization, including the Founder plus at least two additional directors.</w:t>
      </w:r>
    </w:p>
    <w:p>
      <w:pPr>
        <w:pStyle w:val="ListBullet"/>
      </w:pPr>
      <w:r>
        <w:t>- [ ] Separate President and Secretary identified before organizational completion; one individual will not simultaneously hold both offices.</w:t>
      </w:r>
    </w:p>
    <w:p>
      <w:pPr>
        <w:pStyle w:val="ListBullet"/>
      </w:pPr>
      <w:r>
        <w:t>- [ ] Registered agent consents to serve.</w:t>
      </w:r>
    </w:p>
    <w:p>
      <w:pPr>
        <w:pStyle w:val="ListBullet"/>
      </w:pPr>
      <w:r>
        <w:t>- [ ] Independent-Chair recruitment is underway even if not yet completed.</w:t>
      </w:r>
    </w:p>
    <w:p>
      <w:pPr>
        <w:pStyle w:val="Heading2"/>
      </w:pPr>
      <w:r>
        <w:t>B. Address information</w:t>
      </w:r>
    </w:p>
    <w:p>
      <w:pPr>
        <w:pStyle w:val="ListBullet"/>
      </w:pPr>
      <w:r>
        <w:t>- [ ] Principal office street/mailing information finalized.</w:t>
      </w:r>
    </w:p>
    <w:p>
      <w:pPr>
        <w:pStyle w:val="ListBullet"/>
      </w:pPr>
      <w:r>
        <w:t>- [ ] Registered office in Tennessee finalized.</w:t>
      </w:r>
    </w:p>
    <w:p>
      <w:pPr>
        <w:pStyle w:val="ListBullet"/>
      </w:pPr>
      <w:r>
        <w:t>- [ ] Registered agent name exactly matches the filing.</w:t>
      </w:r>
    </w:p>
    <w:p>
      <w:pPr>
        <w:pStyle w:val="ListBullet"/>
      </w:pPr>
      <w:r>
        <w:t>- [ ] Public-record/privacy implications reviewed before inserting home addresses.</w:t>
      </w:r>
    </w:p>
    <w:p>
      <w:pPr>
        <w:pStyle w:val="Heading2"/>
      </w:pPr>
      <w:r>
        <w:t>C. Charter fields and substantive clauses</w:t>
      </w:r>
    </w:p>
    <w:p>
      <w:r>
        <w:t>Confirm the filing-ready charter contains or correctly addresses:</w:t>
      </w:r>
    </w:p>
    <w:p>
      <w:pPr>
        <w:pStyle w:val="ListBullet"/>
      </w:pPr>
      <w:r>
        <w:t>- [ ] corporate name;</w:t>
      </w:r>
    </w:p>
    <w:p>
      <w:pPr>
        <w:pStyle w:val="ListBullet"/>
      </w:pPr>
      <w:r>
        <w:t>- [ ] public-benefit status;</w:t>
      </w:r>
    </w:p>
    <w:p>
      <w:pPr>
        <w:pStyle w:val="ListBullet"/>
      </w:pPr>
      <w:r>
        <w:t>- [ ] statement that the corporation is religious, as applicable;</w:t>
      </w:r>
    </w:p>
    <w:p>
      <w:pPr>
        <w:pStyle w:val="ListBullet"/>
      </w:pPr>
      <w:r>
        <w:t>- [ ] registered office and agent;</w:t>
      </w:r>
    </w:p>
    <w:p>
      <w:pPr>
        <w:pStyle w:val="ListBullet"/>
      </w:pPr>
      <w:r>
        <w:t>- [ ] incorporator name/address/signature fields required by the current form;</w:t>
      </w:r>
    </w:p>
    <w:p>
      <w:pPr>
        <w:pStyle w:val="ListBullet"/>
      </w:pPr>
      <w:r>
        <w:t>- [ ] principal office information;</w:t>
      </w:r>
    </w:p>
    <w:p>
      <w:pPr>
        <w:pStyle w:val="ListBullet"/>
      </w:pPr>
      <w:r>
        <w:t>- [ ] nonprofit status statement;</w:t>
      </w:r>
    </w:p>
    <w:p>
      <w:pPr>
        <w:pStyle w:val="ListBullet"/>
      </w:pPr>
      <w:r>
        <w:t xml:space="preserve">- [ ] statement that the corporation </w:t>
      </w:r>
      <w:r>
        <w:rPr>
          <w:b/>
        </w:rPr>
        <w:t>will not have statutory members</w:t>
      </w:r>
      <w:r>
        <w:t xml:space="preserve"> at formation;</w:t>
      </w:r>
    </w:p>
    <w:p>
      <w:pPr>
        <w:pStyle w:val="ListBullet"/>
      </w:pPr>
      <w:r>
        <w:t>- [ ] 501(c)(3)-compatible exempt-purpose language;</w:t>
      </w:r>
    </w:p>
    <w:p>
      <w:pPr>
        <w:pStyle w:val="ListBullet"/>
      </w:pPr>
      <w:r>
        <w:t>- [ ] prohibition on private inurement/private benefit consistent with federal tax requirements;</w:t>
      </w:r>
    </w:p>
    <w:p>
      <w:pPr>
        <w:pStyle w:val="ListBullet"/>
      </w:pPr>
      <w:r>
        <w:t>- [ ] political-campaign prohibition and lobbying limitation consistent with federal tax requirements;</w:t>
      </w:r>
    </w:p>
    <w:p>
      <w:pPr>
        <w:pStyle w:val="ListBullet"/>
      </w:pPr>
      <w:r>
        <w:t>- [ ] 501(c)(3)-compatible dissolution/dedication-of-assets language;</w:t>
      </w:r>
    </w:p>
    <w:p>
      <w:pPr>
        <w:pStyle w:val="ListBullet"/>
      </w:pPr>
      <w:r>
        <w:t>- [ ] entrenched founder non-sovereignty / conscience safeguards that counsel determines are appropriate for charter placement;</w:t>
      </w:r>
    </w:p>
    <w:p>
      <w:pPr>
        <w:pStyle w:val="ListBullet"/>
      </w:pPr>
      <w:r>
        <w:t>- [ ] director selection mechanism consistent with the nonmember bylaws.</w:t>
      </w:r>
    </w:p>
    <w:p>
      <w:pPr>
        <w:pStyle w:val="Heading2"/>
      </w:pPr>
      <w:r>
        <w:t>D. Cross-document consistency</w:t>
      </w:r>
    </w:p>
    <w:p>
      <w:r>
        <w:t>Before filing, compare the charter against:</w:t>
      </w:r>
    </w:p>
    <w:p>
      <w:pPr>
        <w:pStyle w:val="ListBullet"/>
      </w:pPr>
      <w:r>
        <w:t>- [ ] bylaws and nonmember schedule;</w:t>
      </w:r>
    </w:p>
    <w:p>
      <w:pPr>
        <w:pStyle w:val="ListBullet"/>
      </w:pPr>
      <w:r>
        <w:t>- [ ] Institutional Integrity &amp; Anti-Coercion Framework;</w:t>
      </w:r>
    </w:p>
    <w:p>
      <w:pPr>
        <w:pStyle w:val="ListBullet"/>
      </w:pPr>
      <w:r>
        <w:t>- [ ] Founder Covenant;</w:t>
      </w:r>
    </w:p>
    <w:p>
      <w:pPr>
        <w:pStyle w:val="ListBullet"/>
      </w:pPr>
      <w:r>
        <w:t>- [ ] Reserved Powers Schedule;</w:t>
      </w:r>
    </w:p>
    <w:p>
      <w:pPr>
        <w:pStyle w:val="ListBullet"/>
      </w:pPr>
      <w:r>
        <w:t>- [ ] board-independence standard;</w:t>
      </w:r>
    </w:p>
    <w:p>
      <w:pPr>
        <w:pStyle w:val="ListBullet"/>
      </w:pPr>
      <w:r>
        <w:t>- [ ] Form 1023 narrative and planned public-charity classification;</w:t>
      </w:r>
    </w:p>
    <w:p>
      <w:pPr>
        <w:pStyle w:val="ListBullet"/>
      </w:pPr>
      <w:r>
        <w:t>- [ ] legal/public naming decision;</w:t>
      </w:r>
    </w:p>
    <w:p>
      <w:pPr>
        <w:pStyle w:val="ListBullet"/>
      </w:pPr>
      <w:r>
        <w:t>- [ ] fiscal-year choice.</w:t>
      </w:r>
    </w:p>
    <w:p>
      <w:r>
        <w:t>No subordinate document should grant a power that the charter withholds or remove a right that the charter entrenches.</w:t>
      </w:r>
    </w:p>
    <w:p>
      <w:pPr>
        <w:pStyle w:val="Heading2"/>
      </w:pPr>
      <w:r>
        <w:t>E. Filing economics and evidence</w:t>
      </w:r>
    </w:p>
    <w:p>
      <w:r>
        <w:t>Current Tennessee Secretary of State fee schedule checked September 19, 2026:</w:t>
      </w:r>
    </w:p>
    <w:p>
      <w:pPr>
        <w:pStyle w:val="ListBullet"/>
      </w:pPr>
      <w:r>
        <w:t xml:space="preserve">domestic nonprofit </w:t>
      </w:r>
      <w:r>
        <w:rPr>
          <w:b/>
        </w:rPr>
        <w:t>Charter (SS-4418): $100</w:t>
      </w:r>
      <w:r>
        <w:t>;</w:t>
      </w:r>
    </w:p>
    <w:p>
      <w:pPr>
        <w:pStyle w:val="ListBullet"/>
      </w:pPr>
      <w:r>
        <w:rPr>
          <w:b/>
        </w:rPr>
        <w:t>Application for Name Reservation (SS-9425): $20</w:t>
      </w:r>
      <w:r>
        <w:t xml:space="preserve"> if used.</w:t>
      </w:r>
    </w:p>
    <w:p>
      <w:r>
        <w:t>Re-check the live SOS fee page immediately before filing. Save the submitted charter, payment confirmation, stamped/accepted charter, state control number, and any correspondence in the permanent record book.</w:t>
      </w:r>
    </w:p>
    <w:p>
      <w:pPr>
        <w:pStyle w:val="Heading2"/>
      </w:pPr>
      <w:r>
        <w:t>F. Do not do before acceptance</w:t>
      </w:r>
    </w:p>
    <w:p>
      <w:pPr>
        <w:pStyle w:val="ListBullet"/>
      </w:pPr>
      <w:r>
        <w:t>Do not represent the Tennessee corporation as already existing before the charter becomes effective.</w:t>
      </w:r>
    </w:p>
    <w:p>
      <w:pPr>
        <w:pStyle w:val="ListBullet"/>
      </w:pPr>
      <w:r>
        <w:t>Do not sign ordinary contracts in the unformed corporation's name without counsel addressing pre-incorporation liability/ratification.</w:t>
      </w:r>
    </w:p>
    <w:p>
      <w:pPr>
        <w:pStyle w:val="ListBullet"/>
      </w:pPr>
      <w:r>
        <w:t>Do not open a corporate bank account before the entity and EIN/bank requirements exist.</w:t>
      </w:r>
    </w:p>
    <w:p>
      <w:pPr>
        <w:pStyle w:val="ListBullet"/>
      </w:pPr>
      <w:r>
        <w:t>Do not publish a tax-deductibility representation that exceeds the organization's actual federal status.</w:t>
      </w:r>
    </w:p>
    <w:p>
      <w:pPr>
        <w:pStyle w:val="Heading2"/>
      </w:pPr>
      <w:r>
        <w:t>G. Immediately after state formation</w:t>
      </w:r>
    </w:p>
    <w:p>
      <w:r>
        <w:t>1. Obtain EIN using the accepted legal name.</w:t>
      </w:r>
    </w:p>
    <w:p>
      <w:r>
        <w:t>2. Convene the organizational board meeting or execute the lawful organizational consents.</w:t>
      </w:r>
    </w:p>
    <w:p>
      <w:r>
        <w:t>3. Adopt bylaws, integrity framework, policies, banking/signing controls, fiscal year, and record-book architecture.</w:t>
      </w:r>
    </w:p>
    <w:p>
      <w:r>
        <w:t>4. Elect/appoint officers, ensuring President and Secretary are different people.</w:t>
      </w:r>
    </w:p>
    <w:p>
      <w:r>
        <w:t>5. Complete director/officer conflicts and independence disclosures.</w:t>
      </w:r>
    </w:p>
    <w:p>
      <w:r>
        <w:t>6. Activate bookkeeping and document-retention systems.</w:t>
      </w:r>
    </w:p>
    <w:p>
      <w:r>
        <w:t>7. Prepare/complete the full Form 1023 evidence package.</w:t>
      </w:r>
    </w:p>
    <w:p>
      <w:r>
        <w:t>8. Confirm state/local charitable-solicitation, tax, employment, zoning, insurance, and program-specific obligations before the relevant activities begin.</w:t>
      </w:r>
    </w:p>
    <w:p>
      <w:r>
        <w:br w:type="page"/>
      </w:r>
    </w:p>
    <w:p>
      <w:pPr>
        <w:pStyle w:val="Heading1"/>
      </w:pPr>
      <w:r>
        <w:t>Charitable Assistance and Benevolence SOP</w:t>
      </w:r>
    </w:p>
    <w:p>
      <w:pPr>
        <w:pStyle w:val="Heading2"/>
      </w:pPr>
      <w:r>
        <w:t>Purpose</w:t>
      </w:r>
    </w:p>
    <w:p>
      <w:r>
        <w:t>Provide food, emergency necessities, limited financial assistance, referrals, and other relief in a manner that serves a genuine charitable class, responds to need/distress, preserves dignity, and prevents donor, founder, clergy, or insider favoritism.</w:t>
      </w:r>
    </w:p>
    <w:p>
      <w:pPr>
        <w:pStyle w:val="Heading2"/>
      </w:pPr>
      <w:r>
        <w:t>Governing principles</w:t>
      </w:r>
    </w:p>
    <w:p>
      <w:r>
        <w:t xml:space="preserve">1. </w:t>
      </w:r>
      <w:r>
        <w:rPr>
          <w:b/>
        </w:rPr>
        <w:t>Charitable purpose.</w:t>
      </w:r>
      <w:r>
        <w:t xml:space="preserve"> Assistance exists to relieve poverty, distress, emergency hardship, or comparable charitable need; it is not a benefit of loyalty, membership, donation history, doctrinal agreement, volunteering, or closeness to leadership.</w:t>
      </w:r>
    </w:p>
    <w:p>
      <w:r>
        <w:t xml:space="preserve">2. </w:t>
      </w:r>
      <w:r>
        <w:rPr>
          <w:b/>
        </w:rPr>
        <w:t>Open-ended charitable class.</w:t>
      </w:r>
      <w:r>
        <w:t xml:space="preserve"> Eligibility should describe a sufficiently broad or indefinite class rather than preselecting named beneficiaries.</w:t>
      </w:r>
    </w:p>
    <w:p>
      <w:r>
        <w:t xml:space="preserve">3. </w:t>
      </w:r>
      <w:r>
        <w:rPr>
          <w:b/>
        </w:rPr>
        <w:t>Needs-based decisions.</w:t>
      </w:r>
      <w:r>
        <w:t xml:space="preserve"> Except for immediate emergency necessities where a detailed assessment would be unreasonable, continuing/material aid is based on an objective evaluation of current need and available resources.</w:t>
      </w:r>
    </w:p>
    <w:p>
      <w:r>
        <w:t xml:space="preserve">4. </w:t>
      </w:r>
      <w:r>
        <w:rPr>
          <w:b/>
        </w:rPr>
        <w:t>No spiritual conditions.</w:t>
      </w:r>
      <w:r>
        <w:t xml:space="preserve"> A recipient need not attend worship, convert, confess, accept pastoral counseling, volunteer, donate, sign a loyalty statement, remain in the community, or refrain from criticism.</w:t>
      </w:r>
    </w:p>
    <w:p>
      <w:r>
        <w:t xml:space="preserve">5. </w:t>
      </w:r>
      <w:r>
        <w:rPr>
          <w:b/>
        </w:rPr>
        <w:t>No earmarked pass-through.</w:t>
      </w:r>
      <w:r>
        <w:t xml:space="preserve"> The organization retains control and discretion over donated funds. A donor may support an approved charitable program but may not compel the organization to transfer a deductible charitable gift to a preselected individual.</w:t>
      </w:r>
    </w:p>
    <w:p>
      <w:r>
        <w:t xml:space="preserve">6. </w:t>
      </w:r>
      <w:r>
        <w:rPr>
          <w:b/>
        </w:rPr>
        <w:t>Insider safeguards.</w:t>
      </w:r>
      <w:r>
        <w:t xml:space="preserve"> Assistance involving a director, officer, founder, senior spiritual leader, substantial contributor, family member, or person whose selection could benefit an insider is routed to disinterested reviewers and counsel when material. Ordinary compensation/reimbursement is handled under separate policies, not benevolence.</w:t>
      </w:r>
    </w:p>
    <w:p>
      <w:r>
        <w:t xml:space="preserve">7. </w:t>
      </w:r>
      <w:r>
        <w:rPr>
          <w:b/>
        </w:rPr>
        <w:t>Privacy with accountability.</w:t>
      </w:r>
      <w:r>
        <w:t xml:space="preserve"> Collect the minimum sensitive information needed for decision and records; restrict access; never use recipients' hardship stories for publicity without separate informed consent.</w:t>
      </w:r>
    </w:p>
    <w:p>
      <w:pPr>
        <w:pStyle w:val="Heading2"/>
      </w:pPr>
      <w:r>
        <w:t>Eligible forms of assistance</w:t>
      </w:r>
    </w:p>
    <w:p>
      <w:r>
        <w:t>Subject to program design and resources, assistance may include food, clothing, shelter/housing assistance, utilities, transportation, medical or counseling costs, emergency cash or vouchers, temporary lodging, essential household goods, referrals, and other aid reasonably related to the documented need.</w:t>
      </w:r>
    </w:p>
    <w:p>
      <w:pPr>
        <w:pStyle w:val="Heading2"/>
      </w:pPr>
      <w:r>
        <w:t>Intake</w:t>
      </w:r>
    </w:p>
    <w:p>
      <w:r>
        <w:t>Record at minimum:</w:t>
      </w:r>
    </w:p>
    <w:p>
      <w:pPr>
        <w:pStyle w:val="ListBullet"/>
      </w:pPr>
      <w:r>
        <w:t>application/referral date and applicant identifier;</w:t>
      </w:r>
    </w:p>
    <w:p>
      <w:pPr>
        <w:pStyle w:val="ListBullet"/>
      </w:pPr>
      <w:r>
        <w:t>nature and urgency of need;</w:t>
      </w:r>
    </w:p>
    <w:p>
      <w:pPr>
        <w:pStyle w:val="ListBullet"/>
      </w:pPr>
      <w:r>
        <w:t>household/context information reasonably necessary to assess need;</w:t>
      </w:r>
    </w:p>
    <w:p>
      <w:pPr>
        <w:pStyle w:val="ListBullet"/>
      </w:pPr>
      <w:r>
        <w:t>other resources reasonably available, when relevant to non-emergency aid;</w:t>
      </w:r>
    </w:p>
    <w:p>
      <w:pPr>
        <w:pStyle w:val="ListBullet"/>
      </w:pPr>
      <w:r>
        <w:t>amount/type requested;</w:t>
      </w:r>
    </w:p>
    <w:p>
      <w:pPr>
        <w:pStyle w:val="ListBullet"/>
      </w:pPr>
      <w:r>
        <w:t>conflicts/insider relationships;</w:t>
      </w:r>
    </w:p>
    <w:p>
      <w:pPr>
        <w:pStyle w:val="ListBullet"/>
      </w:pPr>
      <w:r>
        <w:t>decision, amount/type approved, approver(s), and payment method;</w:t>
      </w:r>
    </w:p>
    <w:p>
      <w:pPr>
        <w:pStyle w:val="ListBullet"/>
      </w:pPr>
      <w:r>
        <w:t>follow-up or re-evaluation date if continuing assistance.</w:t>
      </w:r>
    </w:p>
    <w:p>
      <w:r>
        <w:t>Do not require irrelevant religious, medical, immigration, political, or family information merely because the organization has access to it.</w:t>
      </w:r>
    </w:p>
    <w:p>
      <w:pPr>
        <w:pStyle w:val="Heading2"/>
      </w:pPr>
      <w:r>
        <w:t>Decision authority</w:t>
      </w:r>
    </w:p>
    <w:p>
      <w:r>
        <w:t>The Board sets annual program budget and delegated approval thresholds. Staff/volunteers may authorize only within written limits. Higher-dollar, unusual, recurring, or conflict-affected requests escalate to the designated disinterested committee/directors.</w:t>
      </w:r>
    </w:p>
    <w:p>
      <w:r>
        <w:t>No single Founder/clergy executive may privately direct a payment outside the approved process.</w:t>
      </w:r>
    </w:p>
    <w:p>
      <w:pPr>
        <w:pStyle w:val="Heading2"/>
      </w:pPr>
      <w:r>
        <w:t>Emergency pathway</w:t>
      </w:r>
    </w:p>
    <w:p>
      <w:r>
        <w:t>For immediate basic necessities or urgent safety, a designated responder may provide reasonable emergency aid before a full financial assessment when delay would defeat the charitable purpose. Record what was provided, why immediate action was reasonable, and any later assessment required for continuing aid.</w:t>
      </w:r>
    </w:p>
    <w:p>
      <w:pPr>
        <w:pStyle w:val="Heading2"/>
      </w:pPr>
      <w:r>
        <w:t>Prohibited criteria and practices</w:t>
      </w:r>
    </w:p>
    <w:p>
      <w:r>
        <w:t>Do not favor or disfavor applicants based on:</w:t>
      </w:r>
    </w:p>
    <w:p>
      <w:pPr>
        <w:pStyle w:val="ListBullet"/>
      </w:pPr>
      <w:r>
        <w:t>agreement with a leader's theology or claimed revelation;</w:t>
      </w:r>
    </w:p>
    <w:p>
      <w:pPr>
        <w:pStyle w:val="ListBullet"/>
      </w:pPr>
      <w:r>
        <w:t>donations to the organization;</w:t>
      </w:r>
    </w:p>
    <w:p>
      <w:pPr>
        <w:pStyle w:val="ListBullet"/>
      </w:pPr>
      <w:r>
        <w:t>willingness to work/volunteer without ordinary safeguards;</w:t>
      </w:r>
    </w:p>
    <w:p>
      <w:pPr>
        <w:pStyle w:val="ListBullet"/>
      </w:pPr>
      <w:r>
        <w:t>willingness to keep misconduct confidential;</w:t>
      </w:r>
    </w:p>
    <w:p>
      <w:pPr>
        <w:pStyle w:val="ListBullet"/>
      </w:pPr>
      <w:r>
        <w:t>withdrawal of a complaint or criticism;</w:t>
      </w:r>
    </w:p>
    <w:p>
      <w:pPr>
        <w:pStyle w:val="ListBullet"/>
      </w:pPr>
      <w:r>
        <w:t>willingness to join, remain, or return to the religious community.</w:t>
      </w:r>
    </w:p>
    <w:p>
      <w:r>
        <w:t>Assistance must never be threatened or withdrawn as retaliation for protected reporting, departure, or dissent.</w:t>
      </w:r>
    </w:p>
    <w:p>
      <w:pPr>
        <w:pStyle w:val="Heading2"/>
      </w:pPr>
      <w:r>
        <w:t>Payments and documentation</w:t>
      </w:r>
    </w:p>
    <w:p>
      <w:r>
        <w:t>When practical, pay a vendor/provider directly or use a traceable payment method. Cash may be used when reasonably necessary but requires a receipt/acknowledgment or contemporaneous record. Records should show amount, purpose, need basis, decision authority, and payment evidence while minimizing unnecessary sensitive data.</w:t>
      </w:r>
    </w:p>
    <w:p>
      <w:pPr>
        <w:pStyle w:val="Heading2"/>
      </w:pPr>
      <w:r>
        <w:t>Donor restrictions</w:t>
      </w:r>
    </w:p>
    <w:p>
      <w:r>
        <w:t>Fundraising language describes the charitable class/program, not a promise to transmit tax-deductible funds to a named person. If the organization conducts a separate non-deductible crowdfunding/pass-through activity, it must be clearly separated and reviewed before launch.</w:t>
      </w:r>
    </w:p>
    <w:p>
      <w:pPr>
        <w:pStyle w:val="Heading2"/>
      </w:pPr>
      <w:r>
        <w:t>Review</w:t>
      </w:r>
    </w:p>
    <w:p>
      <w:r>
        <w:t>The Board or delegated committee reviews aggregate assistance activity at least quarterly: number served, total aid, exception/conflict cases, repeat/continuing aid, complaints, and whether criteria are producing unfair or coercive outcomes. Individual recipient identities should be omitted from ordinary board reporting unless needed for oversight.</w:t>
      </w:r>
    </w:p>
    <w:p>
      <w:pPr>
        <w:pStyle w:val="Heading2"/>
      </w:pPr>
      <w:r>
        <w:t>Source basis</w:t>
      </w:r>
    </w:p>
    <w:p>
      <w:r>
        <w:t>IRS guidance for charities providing emergency/hardship relief emphasizes a charitable class, needs-based selection, and appropriate documentation. IRS private-benefit rules prohibit operating a 501(c)(3) for the creator, family, designated individuals, or other private interests. This policy applies those principles beyond disasters as a conservative internal control; counsel/CPA should conform it to the actual benevolence program before launch.</w:t>
      </w:r>
    </w:p>
    <w:p>
      <w:pPr>
        <w:pStyle w:val="Heading1"/>
      </w:pPr>
      <w:r>
        <w:t>Founder / Organization Intellectual Property Schedule</w:t>
      </w:r>
    </w:p>
    <w:p>
      <w:r>
        <w:rPr>
          <w:b/>
        </w:rPr>
        <w:t>Purpose:</w:t>
      </w:r>
      <w:r>
        <w:t xml:space="preserve"> Prevent later ambiguity over what the Founder already owned, what is donated/licensed, and what belongs to the corporation. Complete before material publication, monetization, fundraising around proprietary material, or paid employment.</w:t>
      </w:r>
    </w:p>
    <w:p>
      <w:pPr>
        <w:pStyle w:val="Heading2"/>
      </w:pPr>
      <w:r>
        <w:t>Schedule A - Pre-existing Founder 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Item / corpus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Creation dates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Description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Evidence of pre-existence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Current owner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Intended treatment</w:t>
            </w:r>
          </w:p>
        </w:tc>
        <w:trPr>
          <w:tblHeader/>
        </w:trPr>
      </w:tr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[[repo/file/publication/etc.]]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Founder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 / license / assign / undecided</w:t>
            </w:r>
          </w:p>
        </w:tc>
      </w:tr>
    </w:tbl>
    <w:p>
      <w:r>
        <w:t>Examples may include pre-incorporation manuscripts, research notes, curricula, software, databases, designs, recordings, trademarks/names, domain names, or other authored works. Inclusion on this schedule does not itself prove ownership; supporting evidence should be retained.</w:t>
      </w:r>
    </w:p>
    <w:p>
      <w:pPr>
        <w:pStyle w:val="Heading2"/>
      </w:pPr>
      <w:r>
        <w:t>Schedule B - Assets assigned to the corporation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Asset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Assignor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Effective date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Consideration (if any)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Written assignment location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Board/conflict approval</w:t>
            </w:r>
          </w:p>
        </w:tc>
        <w:trPr>
          <w:tblHeader/>
        </w:trPr>
      </w:tr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</w:tr>
    </w:tbl>
    <w:p>
      <w:r>
        <w:t>A transfer involving the Founder or another insider should be documented as a related-party transaction and reviewed for fair terms/private-benefit concerns.</w:t>
      </w:r>
    </w:p>
    <w:p>
      <w:pPr>
        <w:pStyle w:val="Heading2"/>
      </w:pPr>
      <w:r>
        <w:t>Schedule C - Assets licensed to the corporation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Asset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Licensor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Scope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Term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Exclusive?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Royalty/fee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Termination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Written license</w:t>
            </w:r>
          </w:p>
        </w:tc>
        <w:trPr>
          <w:tblHeader/>
        </w:trPr>
      </w:tr>
      <w:tr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[[media/territory/use]]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yes/no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271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</w:tr>
    </w:tbl>
    <w:p>
      <w:r>
        <w:t>Do not rely on an informal assumption that “the organization can use anything the Founder creates.” Define the license and economic terms before material reliance.</w:t>
      </w:r>
    </w:p>
    <w:p>
      <w:pPr>
        <w:pStyle w:val="Heading2"/>
      </w:pPr>
      <w:r>
        <w:t>Schedule D - Corporation-created / commissioned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Work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Creator/contractor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Agreement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Payment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IP clause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Repository/location</w:t>
            </w:r>
          </w:p>
        </w:tc>
        <w:trPr>
          <w:tblHeader/>
        </w:trPr>
      </w:tr>
      <w:tr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employee / volunteer / contractor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</w:tr>
    </w:tbl>
    <w:p>
      <w:r>
        <w:t>Employment, volunteer, and contractor agreements should address intellectual-property ownership in writing. Counsel should draft/conform work-made-for-hire, assignment, license, moral-rights, open-source, and state-law provisions rather than relying on labels alone.</w:t>
      </w:r>
    </w:p>
    <w:p>
      <w:pPr>
        <w:pStyle w:val="Heading2"/>
      </w:pPr>
      <w:r>
        <w:t>Schedule E - Names, domains, marks,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Asset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Registrant/account owner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Renewal date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Credentials custodian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Corporation-authorized?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Transfer needed?</w:t>
            </w:r>
          </w:p>
        </w:tc>
        <w:trPr>
          <w:tblHeader/>
        </w:trPr>
      </w:tr>
      <w:tr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[[domain]]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yes/no</w:t>
            </w:r>
          </w:p>
        </w:tc>
        <w:tc>
          <w:tcPr>
            <w:tcW w:type="dxa" w:w="169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yes/no</w:t>
            </w:r>
          </w:p>
        </w:tc>
      </w:tr>
    </w:tbl>
    <w:p>
      <w:r>
        <w:t>Whenever feasible after formation, core domains, public social accounts, publication accounts, and organization marks should be registered to/control-accessed by the corporation rather than remaining solely in a Founder's personal account.</w:t>
      </w:r>
    </w:p>
    <w:p>
      <w:pPr>
        <w:pStyle w:val="Heading2"/>
      </w:pPr>
      <w:r>
        <w:t>Schedule F - Open / public licenses and third-party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Material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Source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License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Attribution/notice requirement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Commercial limits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Copyleft/share-alike obligations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E2E8F0"/>
          </w:tcPr>
          <w:p>
            <w:r>
              <w:rPr>
                <w:b/>
                <w:sz w:val="16"/>
              </w:rPr>
            </w:r>
            <w:r>
              <w:rPr>
                <w:sz w:val="16"/>
              </w:rPr>
              <w:t>File/location</w:t>
            </w:r>
          </w:p>
        </w:tc>
        <w:trPr>
          <w:tblHeader/>
        </w:trPr>
      </w:tr>
      <w:tr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  <w:tc>
          <w:tcPr>
            <w:tcW w:type="dxa" w:w="1452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[[...]]</w:t>
            </w:r>
          </w:p>
        </w:tc>
      </w:tr>
    </w:tbl>
    <w:p>
      <w:pPr>
        <w:pStyle w:val="Heading2"/>
      </w:pPr>
      <w:r>
        <w:t>Annual certification</w:t>
      </w:r>
    </w:p>
    <w:p>
      <w:r>
        <w:t>At least annually, and before a material financing, licensing, publication, leadership transition, or founder-compensation change, the Secretary or delegated officer should confirm that this schedule is current and that insider transfers/licenses have the required conflict review.</w:t>
      </w:r>
    </w:p>
    <w:p>
      <w:pPr>
        <w:pStyle w:val="Heading1"/>
      </w:pPr>
      <w:r>
        <w:t>v0.4 Human-Input Boundary</w:t>
      </w:r>
    </w:p>
    <w:p>
      <w:r>
        <w:t>The following work has been completed without inventing facts: governance system, founding transaction templates, record book, identity architecture, candidate naming screen, founding-board recruitment system, federal classification strategy, Form 1023 activity narrative draft, founder compensation architecture, three-year financial model, name-clearance workflow, Tennessee pre-filing checklist, charitable-assistance SOP, and IP schedule.</w:t>
      </w:r>
    </w:p>
    <w:p>
      <w:pPr>
        <w:pStyle w:val="Heading2"/>
      </w:pPr>
      <w:r>
        <w:t>The next steps cannot be completed truthfully without real-world inputs</w:t>
      </w:r>
    </w:p>
    <w:p>
      <w:r>
        <w:t xml:space="preserve">1. </w:t>
      </w:r>
      <w:r>
        <w:rPr>
          <w:b/>
        </w:rPr>
        <w:t>Name:</w:t>
      </w:r>
      <w:r>
        <w:t xml:space="preserve"> Founder selects approximately three finalists, after which final Tennessee/trademark/domain clearance can occur and one legal/public name can be adopted.</w:t>
      </w:r>
    </w:p>
    <w:p>
      <w:r>
        <w:t xml:space="preserve">2. </w:t>
      </w:r>
      <w:r>
        <w:rPr>
          <w:b/>
        </w:rPr>
        <w:t>People:</w:t>
      </w:r>
      <w:r>
        <w:t xml:space="preserve"> at least two additional natural-person directors must actually agree to serve; a person separate from the President must actually agree to serve as Secretary. Formation target remains four additional directors.</w:t>
      </w:r>
    </w:p>
    <w:p>
      <w:r>
        <w:t xml:space="preserve">3. </w:t>
      </w:r>
      <w:r>
        <w:rPr>
          <w:b/>
        </w:rPr>
        <w:t>Addresses:</w:t>
      </w:r>
      <w:r>
        <w:t xml:space="preserve"> registered office and principal office must be supplied immediately before the Tennessee filing.</w:t>
      </w:r>
    </w:p>
    <w:p>
      <w:r>
        <w:t xml:space="preserve">4. </w:t>
      </w:r>
      <w:r>
        <w:rPr>
          <w:b/>
        </w:rPr>
        <w:t>Program facts:</w:t>
      </w:r>
      <w:r>
        <w:t xml:space="preserve"> worship/gathering frequency, actual launch sequence, fees, children's-program timing, ordination timing, and fundraising channels must become concrete enough to make the Form 1023 narrative factual rather than aspirational.</w:t>
      </w:r>
    </w:p>
    <w:p>
      <w:r>
        <w:t xml:space="preserve">5. </w:t>
      </w:r>
      <w:r>
        <w:rPr>
          <w:b/>
        </w:rPr>
        <w:t>Budget facts:</w:t>
      </w:r>
      <w:r>
        <w:t xml:space="preserve"> good-faith Year 1-3 revenue and expense assumptions must be supplied/approved; numbers will not be invented to satisfy public-charity classification.</w:t>
      </w:r>
    </w:p>
    <w:p>
      <w:pPr>
        <w:pStyle w:val="Heading2"/>
      </w:pPr>
      <w:r>
        <w:t>Autonomous work that resumes when inputs arrive</w:t>
      </w:r>
    </w:p>
    <w:p>
      <w:r>
        <w:t>When names of candidate directors are provided, produce candidate-specific packets and onboarding records. When three name finalists are selected, perform final current public conflict screens and assemble the naming decision record. When budget/program assumptions are supplied, finalize the Form 1023 narrative, financial schedules, requested public-charity classification, and filing evidence index. When the name, board, Secretary, and addresses exist, instantiate the charter/bylaws and organizational packet and move to filing-ready v0.5.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Institutional Integrity v0.4 | Pre-Filing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