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48"/>
        </w:rPr>
        <w:t>Code of Religious Discipline</w:t>
      </w:r>
    </w:p>
    <w:p>
      <w:pPr>
        <w:jc w:val="center"/>
      </w:pPr>
      <w:r>
        <w:rPr>
          <w:i/>
          <w:color w:val="5B6573"/>
          <w:sz w:val="24"/>
        </w:rPr>
        <w:t>Member, ministerial, and leadership accountability with due process and safeguarding</w:t>
      </w:r>
    </w:p>
    <w:tbl>
      <w:tblPr>
        <w:tblStyle w:val="TableGrid"/>
        <w:tblW w:type="auto" w:w="0"/>
        <w:jc w:val="center"/>
        <w:tblLook w:firstColumn="1" w:firstRow="1" w:lastColumn="0" w:lastRow="0" w:noHBand="0" w:noVBand="1" w:val="04A0"/>
      </w:tblPr>
      <w:tblGrid>
        <w:gridCol w:w="5083"/>
        <w:gridCol w:w="5083"/>
      </w:tblGrid>
      <w:tr>
        <w:tc>
          <w:tcPr>
            <w:tcW w:type="dxa" w:w="5083"/>
            <w:shd w:fill="D9EAF7"/>
          </w:tcPr>
          <w:p>
            <w:r>
              <w:rPr>
                <w:b/>
              </w:rPr>
              <w:t>Document ID</w:t>
            </w:r>
          </w:p>
        </w:tc>
        <w:tc>
          <w:tcPr>
            <w:tcW w:type="dxa" w:w="5083"/>
          </w:tcPr>
          <w:p>
            <w:r>
              <w:t>CH-009</w:t>
            </w:r>
          </w:p>
        </w:tc>
      </w:tr>
      <w:tr>
        <w:tc>
          <w:tcPr>
            <w:tcW w:type="dxa" w:w="5083"/>
            <w:shd w:fill="D9EAF7"/>
          </w:tcPr>
          <w:p>
            <w:r>
              <w:rPr>
                <w:b/>
              </w:rPr>
              <w:t>Version</w:t>
            </w:r>
          </w:p>
        </w:tc>
        <w:tc>
          <w:tcPr>
            <w:tcW w:type="dxa" w:w="5083"/>
          </w:tcPr>
          <w:p>
            <w:r>
              <w:t>0.1.0</w:t>
            </w:r>
          </w:p>
        </w:tc>
      </w:tr>
      <w:tr>
        <w:tc>
          <w:tcPr>
            <w:tcW w:type="dxa" w:w="5083"/>
            <w:shd w:fill="D9EAF7"/>
          </w:tcPr>
          <w:p>
            <w:r>
              <w:rPr>
                <w:b/>
              </w:rPr>
              <w:t>Status</w:t>
            </w:r>
          </w:p>
        </w:tc>
        <w:tc>
          <w:tcPr>
            <w:tcW w:type="dxa" w:w="5083"/>
          </w:tcPr>
          <w:p>
            <w:r>
              <w:t>Provisional Working Draft</w:t>
            </w:r>
          </w:p>
        </w:tc>
      </w:tr>
      <w:tr>
        <w:tc>
          <w:tcPr>
            <w:tcW w:type="dxa" w:w="5083"/>
            <w:shd w:fill="D9EAF7"/>
          </w:tcPr>
          <w:p>
            <w:r>
              <w:rPr>
                <w:b/>
              </w:rPr>
              <w:t>Classification</w:t>
            </w:r>
          </w:p>
        </w:tc>
        <w:tc>
          <w:tcPr>
            <w:tcW w:type="dxa" w:w="5083"/>
          </w:tcPr>
          <w:p>
            <w:r>
              <w:t>Religious Governing Instrument</w:t>
            </w:r>
          </w:p>
        </w:tc>
      </w:tr>
      <w:tr>
        <w:tc>
          <w:tcPr>
            <w:tcW w:type="dxa" w:w="5083"/>
            <w:shd w:fill="D9EAF7"/>
          </w:tcPr>
          <w:p>
            <w:r>
              <w:rPr>
                <w:b/>
              </w:rPr>
              <w:t>Organization</w:t>
            </w:r>
          </w:p>
        </w:tc>
        <w:tc>
          <w:tcPr>
            <w:tcW w:type="dxa" w:w="5083"/>
          </w:tcPr>
          <w:p>
            <w:r>
              <w:t>[[CORP_NAME]]</w:t>
            </w:r>
          </w:p>
        </w:tc>
      </w:tr>
      <w:tr>
        <w:tc>
          <w:tcPr>
            <w:tcW w:type="dxa" w:w="5083"/>
            <w:shd w:fill="D9EAF7"/>
          </w:tcPr>
          <w:p>
            <w:r>
              <w:rPr>
                <w:b/>
              </w:rPr>
              <w:t>Adoption Date</w:t>
            </w:r>
          </w:p>
        </w:tc>
        <w:tc>
          <w:tcPr>
            <w:tcW w:type="dxa" w:w="5083"/>
          </w:tcPr>
          <w:p>
            <w:r>
              <w:t>[[DATE]]</w:t>
            </w:r>
          </w:p>
        </w:tc>
      </w:tr>
    </w:tbl>
    <w:p/>
    <w:p>
      <w:pPr>
        <w:pStyle w:val="SmallNote"/>
      </w:pPr>
      <w:r>
        <w:rPr>
          <w:b/>
        </w:rPr>
        <w:t xml:space="preserve">Drafting note: </w:t>
      </w:r>
      <w:r>
        <w:t>Bracketed fields identify facts or decisions that must be verified before adoption. Provisional religious language is intentionally distinguished from binding doctrine.</w:t>
      </w:r>
    </w:p>
    <w:p>
      <w:r>
        <w:br w:type="page"/>
      </w:r>
    </w:p>
    <w:p>
      <w:pPr>
        <w:pStyle w:val="Heading1"/>
      </w:pPr>
      <w:r>
        <w:t>Preamble</w:t>
      </w:r>
    </w:p>
    <w:p>
      <w:r>
        <w:t>Discipline exists to protect persons, preserve the integrity of religious life, correct misconduct, uphold trustworthy ministry, and make restoration possible where appropriate. It shall never be used to protect leaders from criticism, enforce personal loyalty, punish lawful departure, conceal abuse, or manufacture conformity through fear.</w:t>
      </w:r>
    </w:p>
    <w:p>
      <w:pPr>
        <w:pStyle w:val="Principle"/>
      </w:pPr>
      <w:r>
        <w:t>No person is above accountability, and no person is beneath due process.</w:t>
      </w:r>
    </w:p>
    <w:p>
      <w:pPr>
        <w:pStyle w:val="Heading1"/>
      </w:pPr>
      <w:r>
        <w:t>Article I — Scope and Jurisdiction</w:t>
      </w:r>
    </w:p>
    <w:p>
      <w:r>
        <w:t>This Code applies to Covenant Members, ministers, ministry candidates, religious officers, persons exercising delegated religious authority, and any other category expressly made subject to it by valid governing instrument.</w:t>
      </w:r>
    </w:p>
    <w:p>
      <w:pPr>
        <w:pStyle w:val="Heading1"/>
      </w:pPr>
      <w:r>
        <w:t>Article II — Rights of Persons Subject to Discipline</w:t>
      </w:r>
    </w:p>
    <w:p>
      <w:pPr>
        <w:pStyle w:val="ListBullet"/>
      </w:pPr>
      <w:r>
        <w:t>Notice of material allegations with sufficient specificity to respond.</w:t>
      </w:r>
    </w:p>
    <w:p>
      <w:pPr>
        <w:pStyle w:val="ListBullet"/>
      </w:pPr>
      <w:r>
        <w:t>A meaningful opportunity to be heard.</w:t>
      </w:r>
    </w:p>
    <w:p>
      <w:pPr>
        <w:pStyle w:val="ListBullet"/>
      </w:pPr>
      <w:r>
        <w:t>Impartial decisionmakers and disclosure of conflicts.</w:t>
      </w:r>
    </w:p>
    <w:p>
      <w:pPr>
        <w:pStyle w:val="ListBullet"/>
      </w:pPr>
      <w:r>
        <w:t>Reasonable access to the evidence relied upon, subject to safeguarding and privacy limits.</w:t>
      </w:r>
    </w:p>
    <w:p>
      <w:pPr>
        <w:pStyle w:val="ListBullet"/>
      </w:pPr>
      <w:r>
        <w:t>Freedom from retaliation for good-faith reporting, testimony, appeal, or seeking outside help.</w:t>
      </w:r>
    </w:p>
    <w:p>
      <w:pPr>
        <w:pStyle w:val="ListBullet"/>
      </w:pPr>
      <w:r>
        <w:t>The right to obtain legal, pastoral, therapeutic, family, or other outside support.</w:t>
      </w:r>
    </w:p>
    <w:p>
      <w:pPr>
        <w:pStyle w:val="ListBullet"/>
      </w:pPr>
      <w:r>
        <w:t>The right to leave the religious community; departure does not erase jurisdiction over records, safeguarding findings, credential status, or harm already caused.</w:t>
      </w:r>
    </w:p>
    <w:p>
      <w:pPr>
        <w:pStyle w:val="ListBullet"/>
      </w:pPr>
      <w:r>
        <w:t>Appeal where provided by this Code or superior governing instruments.</w:t>
      </w:r>
    </w:p>
    <w:p>
      <w:pPr>
        <w:pStyle w:val="Heading1"/>
      </w:pPr>
      <w:r>
        <w:t>Article III — Prohibited Uses of Discipline</w:t>
      </w:r>
    </w:p>
    <w:p>
      <w:pPr>
        <w:pStyle w:val="ListBullet"/>
      </w:pPr>
      <w:r>
        <w:t>Punishing doctrinal questions that are permitted under the governing corpus.</w:t>
      </w:r>
    </w:p>
    <w:p>
      <w:pPr>
        <w:pStyle w:val="ListBullet"/>
      </w:pPr>
      <w:r>
        <w:t>Compelling confession of conduct not reasonably established.</w:t>
      </w:r>
    </w:p>
    <w:p>
      <w:pPr>
        <w:pStyle w:val="ListBullet"/>
      </w:pPr>
      <w:r>
        <w:t>Threatening loss of family contact, housing, livelihood, immigration assistance, medical care, or ordinary civil rights as leverage for spiritual compliance.</w:t>
      </w:r>
    </w:p>
    <w:p>
      <w:pPr>
        <w:pStyle w:val="ListBullet"/>
      </w:pPr>
      <w:r>
        <w:t>Demanding secrecy concerning suspected abuse, crime, safeguarding issues, or unlawful conduct.</w:t>
      </w:r>
    </w:p>
    <w:p>
      <w:pPr>
        <w:pStyle w:val="ListBullet"/>
      </w:pPr>
      <w:r>
        <w:t>Treating criticism of a leader as inherently equivalent to rebellion against God or ultimate reality.</w:t>
      </w:r>
    </w:p>
    <w:p>
      <w:pPr>
        <w:pStyle w:val="ListBullet"/>
      </w:pPr>
      <w:r>
        <w:t>Using discipline to obtain money, property, sexual access, labor, political activity, or personal service for leaders.</w:t>
      </w:r>
    </w:p>
    <w:p>
      <w:pPr>
        <w:pStyle w:val="Heading1"/>
      </w:pPr>
      <w:r>
        <w:t>Article IV — Categories of Concern</w:t>
      </w:r>
    </w:p>
    <w:tbl>
      <w:tblPr>
        <w:tblStyle w:val="TableGrid"/>
        <w:tblW w:type="auto" w:w="0"/>
        <w:jc w:val="center"/>
        <w:tblLook w:firstColumn="1" w:firstRow="1" w:lastColumn="0" w:lastRow="0" w:noHBand="0" w:noVBand="1" w:val="04A0"/>
      </w:tblPr>
      <w:tblGrid>
        <w:gridCol w:w="3389"/>
        <w:gridCol w:w="3389"/>
        <w:gridCol w:w="3389"/>
      </w:tblGrid>
      <w:tr>
        <w:trPr>
          <w:tblHeader w:val="true"/>
          <w:cantSplit w:val="true"/>
        </w:trPr>
        <w:tc>
          <w:tcPr>
            <w:tcW w:type="dxa" w:w="3389"/>
            <w:shd w:fill="1F4E79"/>
            <w:vAlign w:val="center"/>
          </w:tcPr>
          <w:p>
            <w:r>
              <w:rPr>
                <w:b/>
                <w:color w:val="FFFFFF"/>
              </w:rPr>
              <w:t>Category</w:t>
            </w:r>
          </w:p>
        </w:tc>
        <w:tc>
          <w:tcPr>
            <w:tcW w:type="dxa" w:w="3389"/>
            <w:shd w:fill="1F4E79"/>
            <w:vAlign w:val="center"/>
          </w:tcPr>
          <w:p>
            <w:r>
              <w:rPr>
                <w:b/>
                <w:color w:val="FFFFFF"/>
              </w:rPr>
              <w:t>Examples</w:t>
            </w:r>
          </w:p>
        </w:tc>
        <w:tc>
          <w:tcPr>
            <w:tcW w:type="dxa" w:w="3389"/>
            <w:shd w:fill="1F4E79"/>
            <w:vAlign w:val="center"/>
          </w:tcPr>
          <w:p>
            <w:r>
              <w:rPr>
                <w:b/>
                <w:color w:val="FFFFFF"/>
              </w:rPr>
              <w:t>Ordinary Response</w:t>
            </w:r>
          </w:p>
        </w:tc>
      </w:tr>
      <w:tr>
        <w:trPr>
          <w:cantSplit w:val="true"/>
        </w:trPr>
        <w:tc>
          <w:tcPr>
            <w:tcW w:type="dxa" w:w="3389"/>
          </w:tcPr>
          <w:p>
            <w:r>
              <w:t>Pastoral concern</w:t>
            </w:r>
          </w:p>
        </w:tc>
        <w:tc>
          <w:tcPr>
            <w:tcW w:type="dxa" w:w="3389"/>
          </w:tcPr>
          <w:p>
            <w:r>
              <w:t>Conflict, immaturity, ordinary harmful behavior</w:t>
            </w:r>
          </w:p>
        </w:tc>
        <w:tc>
          <w:tcPr>
            <w:tcW w:type="dxa" w:w="3389"/>
          </w:tcPr>
          <w:p>
            <w:r>
              <w:t>Pastoral conversation, mediation, formation</w:t>
            </w:r>
          </w:p>
        </w:tc>
      </w:tr>
      <w:tr>
        <w:trPr>
          <w:cantSplit w:val="true"/>
        </w:trPr>
        <w:tc>
          <w:tcPr>
            <w:tcW w:type="dxa" w:w="3389"/>
          </w:tcPr>
          <w:p>
            <w:r>
              <w:t>Membership misconduct</w:t>
            </w:r>
          </w:p>
        </w:tc>
        <w:tc>
          <w:tcPr>
            <w:tcW w:type="dxa" w:w="3389"/>
          </w:tcPr>
          <w:p>
            <w:r>
              <w:t>Serious covenant violation, harassment, deception</w:t>
            </w:r>
          </w:p>
        </w:tc>
        <w:tc>
          <w:tcPr>
            <w:tcW w:type="dxa" w:w="3389"/>
          </w:tcPr>
          <w:p>
            <w:r>
              <w:t>Formal review; proportionate discipline</w:t>
            </w:r>
          </w:p>
        </w:tc>
      </w:tr>
      <w:tr>
        <w:trPr>
          <w:cantSplit w:val="true"/>
        </w:trPr>
        <w:tc>
          <w:tcPr>
            <w:tcW w:type="dxa" w:w="3389"/>
          </w:tcPr>
          <w:p>
            <w:r>
              <w:t>Ministerial misconduct</w:t>
            </w:r>
          </w:p>
        </w:tc>
        <w:tc>
          <w:tcPr>
            <w:tcW w:type="dxa" w:w="3389"/>
          </w:tcPr>
          <w:p>
            <w:r>
              <w:t>Abuse of office, boundary violations, credential misuse</w:t>
            </w:r>
          </w:p>
        </w:tc>
        <w:tc>
          <w:tcPr>
            <w:tcW w:type="dxa" w:w="3389"/>
          </w:tcPr>
          <w:p>
            <w:r>
              <w:t>Protective action + formal process</w:t>
            </w:r>
          </w:p>
        </w:tc>
      </w:tr>
      <w:tr>
        <w:trPr>
          <w:cantSplit w:val="true"/>
        </w:trPr>
        <w:tc>
          <w:tcPr>
            <w:tcW w:type="dxa" w:w="3389"/>
          </w:tcPr>
          <w:p>
            <w:r>
              <w:t>Safeguarding concern</w:t>
            </w:r>
          </w:p>
        </w:tc>
        <w:tc>
          <w:tcPr>
            <w:tcW w:type="dxa" w:w="3389"/>
          </w:tcPr>
          <w:p>
            <w:r>
              <w:t>Abuse, exploitation, danger to vulnerable persons</w:t>
            </w:r>
          </w:p>
        </w:tc>
        <w:tc>
          <w:tcPr>
            <w:tcW w:type="dxa" w:w="3389"/>
          </w:tcPr>
          <w:p>
            <w:r>
              <w:t>Immediate safety response; external reporting where required</w:t>
            </w:r>
          </w:p>
        </w:tc>
      </w:tr>
      <w:tr>
        <w:trPr>
          <w:cantSplit w:val="true"/>
        </w:trPr>
        <w:tc>
          <w:tcPr>
            <w:tcW w:type="dxa" w:w="3389"/>
          </w:tcPr>
          <w:p>
            <w:r>
              <w:t>Financial misconduct</w:t>
            </w:r>
          </w:p>
        </w:tc>
        <w:tc>
          <w:tcPr>
            <w:tcW w:type="dxa" w:w="3389"/>
          </w:tcPr>
          <w:p>
            <w:r>
              <w:t>Theft, fraud, diversion, undisclosed conflicts</w:t>
            </w:r>
          </w:p>
        </w:tc>
        <w:tc>
          <w:tcPr>
            <w:tcW w:type="dxa" w:w="3389"/>
          </w:tcPr>
          <w:p>
            <w:r>
              <w:t>Independent review; civil reporting where appropriate</w:t>
            </w:r>
          </w:p>
        </w:tc>
      </w:tr>
      <w:tr>
        <w:trPr>
          <w:cantSplit w:val="true"/>
        </w:trPr>
        <w:tc>
          <w:tcPr>
            <w:tcW w:type="dxa" w:w="3389"/>
          </w:tcPr>
          <w:p>
            <w:r>
              <w:t>Doctrinal / teaching misconduct</w:t>
            </w:r>
          </w:p>
        </w:tc>
        <w:tc>
          <w:tcPr>
            <w:tcW w:type="dxa" w:w="3389"/>
          </w:tcPr>
          <w:p>
            <w:r>
              <w:t>Knowingly misrepresenting binding doctrine while acting in official capacity</w:t>
            </w:r>
          </w:p>
        </w:tc>
        <w:tc>
          <w:tcPr>
            <w:tcW w:type="dxa" w:w="3389"/>
          </w:tcPr>
          <w:p>
            <w:r>
              <w:t>Correction, restriction, or credential action</w:t>
            </w:r>
          </w:p>
        </w:tc>
      </w:tr>
      <w:tr>
        <w:trPr>
          <w:cantSplit w:val="true"/>
        </w:trPr>
        <w:tc>
          <w:tcPr>
            <w:tcW w:type="dxa" w:w="3389"/>
          </w:tcPr>
          <w:p>
            <w:r>
              <w:t>Institutional misconduct</w:t>
            </w:r>
          </w:p>
        </w:tc>
        <w:tc>
          <w:tcPr>
            <w:tcW w:type="dxa" w:w="3389"/>
          </w:tcPr>
          <w:p>
            <w:r>
              <w:t>Retaliation, evidence destruction, concealment, obstruction</w:t>
            </w:r>
          </w:p>
        </w:tc>
        <w:tc>
          <w:tcPr>
            <w:tcW w:type="dxa" w:w="3389"/>
          </w:tcPr>
          <w:p>
            <w:r>
              <w:t>Independent investigation and governance remedies</w:t>
            </w:r>
          </w:p>
        </w:tc>
      </w:tr>
    </w:tbl>
    <w:p>
      <w:pPr>
        <w:pStyle w:val="Heading1"/>
      </w:pPr>
      <w:r>
        <w:t>Article V — Complaint Intake</w:t>
      </w:r>
    </w:p>
    <w:p>
      <w:r>
        <w:t>Complaints may be submitted by members, nonmembers, employees, volunteers, minors through appropriate representatives, former participants, outside institutions, or any person reporting conduct within the community’s legitimate jurisdiction.</w:t>
      </w:r>
    </w:p>
    <w:p>
      <w:pPr>
        <w:ind w:left="0" w:firstLine="0"/>
      </w:pPr>
      <w:r>
        <w:t>1.  Record the complaint and date received.</w:t>
      </w:r>
    </w:p>
    <w:p>
      <w:pPr>
        <w:ind w:left="0" w:firstLine="0"/>
      </w:pPr>
      <w:r>
        <w:t>2.  Assess immediate safety and mandatory-reporting issues.</w:t>
      </w:r>
    </w:p>
    <w:p>
      <w:pPr>
        <w:ind w:left="0" w:firstLine="0"/>
      </w:pPr>
      <w:r>
        <w:t>3.  Preserve relevant evidence.</w:t>
      </w:r>
    </w:p>
    <w:p>
      <w:pPr>
        <w:ind w:left="0" w:firstLine="0"/>
      </w:pPr>
      <w:r>
        <w:t>4.  Identify conflicts and assign an appropriate reviewer.</w:t>
      </w:r>
    </w:p>
    <w:p>
      <w:pPr>
        <w:ind w:left="0" w:firstLine="0"/>
      </w:pPr>
      <w:r>
        <w:t>5.  Classify the matter for pastoral, administrative, safeguarding, disciplinary, or external referral.</w:t>
      </w:r>
    </w:p>
    <w:p>
      <w:pPr>
        <w:ind w:left="0" w:firstLine="0"/>
      </w:pPr>
      <w:r>
        <w:t>6.  Notify relevant persons when safe and appropriate.</w:t>
      </w:r>
    </w:p>
    <w:p>
      <w:pPr>
        <w:pStyle w:val="Heading1"/>
      </w:pPr>
      <w:r>
        <w:t>Article VI — Protective Measures</w:t>
      </w:r>
    </w:p>
    <w:p>
      <w:r>
        <w:t>Temporary measures may precede final adjudication when reasonably necessary to protect persons, evidence, institutional integrity, or ongoing proceedings. Protective measures are not final findings and shall not be falsely represented as such.</w:t>
      </w:r>
    </w:p>
    <w:p>
      <w:pPr>
        <w:pStyle w:val="ListBullet"/>
      </w:pPr>
      <w:r>
        <w:t>Temporary removal from duties</w:t>
      </w:r>
    </w:p>
    <w:p>
      <w:pPr>
        <w:pStyle w:val="ListBullet"/>
      </w:pPr>
      <w:r>
        <w:t>No-contact directives</w:t>
      </w:r>
    </w:p>
    <w:p>
      <w:pPr>
        <w:pStyle w:val="ListBullet"/>
      </w:pPr>
      <w:r>
        <w:t>Supervised ministry only</w:t>
      </w:r>
    </w:p>
    <w:p>
      <w:pPr>
        <w:pStyle w:val="ListBullet"/>
      </w:pPr>
      <w:r>
        <w:t>Temporary credential suspension</w:t>
      </w:r>
    </w:p>
    <w:p>
      <w:pPr>
        <w:pStyle w:val="ListBullet"/>
      </w:pPr>
      <w:r>
        <w:t>Restricted access to children or vulnerable persons</w:t>
      </w:r>
    </w:p>
    <w:p>
      <w:pPr>
        <w:pStyle w:val="ListBullet"/>
      </w:pPr>
      <w:r>
        <w:t>Administrative leave</w:t>
      </w:r>
    </w:p>
    <w:p>
      <w:pPr>
        <w:pStyle w:val="ListBullet"/>
      </w:pPr>
      <w:r>
        <w:t>Preservation of records and devices</w:t>
      </w:r>
    </w:p>
    <w:p>
      <w:pPr>
        <w:pStyle w:val="ListBullet"/>
      </w:pPr>
      <w:r>
        <w:t>Temporary financial controls</w:t>
      </w:r>
    </w:p>
    <w:p>
      <w:pPr>
        <w:pStyle w:val="Heading1"/>
      </w:pPr>
      <w:r>
        <w:t>Article VII — Investigation Standard</w:t>
      </w:r>
    </w:p>
    <w:p>
      <w:r>
        <w:t>Investigations should be proportionate, impartial, documented, trauma-informed where appropriate, and sufficiently independent for the seriousness of the allegation. Investigators shall distinguish facts, credibility assessments, inference, hearsay, expert opinion, and unresolved uncertainty.</w:t>
      </w:r>
    </w:p>
    <w:p>
      <w:pPr>
        <w:pStyle w:val="Heading1"/>
      </w:pPr>
      <w:r>
        <w:t>Article VIII — Evidence and Standard of Decision</w:t>
      </w:r>
    </w:p>
    <w:p>
      <w:r>
        <w:t>Unless a superior instrument requires otherwise, ordinary ecclesiastical findings should be based on the preponderance of the evidence: whether the asserted fact is more likely than not. Higher evidentiary caution may be appropriate for consequences of exceptional severity. Civil or criminal standards are not automatically imported into ecclesiastical proceedings.</w:t>
      </w:r>
    </w:p>
    <w:p>
      <w:pPr>
        <w:pStyle w:val="Heading1"/>
      </w:pPr>
      <w:r>
        <w:t>Article IX — Hearing and Decision</w:t>
      </w:r>
    </w:p>
    <w:p>
      <w:pPr>
        <w:ind w:left="0" w:firstLine="0"/>
      </w:pPr>
      <w:r>
        <w:t>1.  Provide notice of charges or issues to be decided.</w:t>
      </w:r>
    </w:p>
    <w:p>
      <w:pPr>
        <w:ind w:left="0" w:firstLine="0"/>
      </w:pPr>
      <w:r>
        <w:t>2.  Allow a reasonable response and relevant evidence.</w:t>
      </w:r>
    </w:p>
    <w:p>
      <w:pPr>
        <w:ind w:left="0" w:firstLine="0"/>
      </w:pPr>
      <w:r>
        <w:t>3.  Address conflicts and recusals.</w:t>
      </w:r>
    </w:p>
    <w:p>
      <w:pPr>
        <w:ind w:left="0" w:firstLine="0"/>
      </w:pPr>
      <w:r>
        <w:t>4.  Conduct hearing or documentary review appropriate to the case.</w:t>
      </w:r>
    </w:p>
    <w:p>
      <w:pPr>
        <w:ind w:left="0" w:firstLine="0"/>
      </w:pPr>
      <w:r>
        <w:t>5.  Make written findings identifying established facts and unresolved issues.</w:t>
      </w:r>
    </w:p>
    <w:p>
      <w:pPr>
        <w:ind w:left="0" w:firstLine="0"/>
      </w:pPr>
      <w:r>
        <w:t>6.  State the rule or standard applied.</w:t>
      </w:r>
    </w:p>
    <w:p>
      <w:pPr>
        <w:ind w:left="0" w:firstLine="0"/>
      </w:pPr>
      <w:r>
        <w:t>7.  State sanctions, protective measures, corrective actions, or dismissal of charges.</w:t>
      </w:r>
    </w:p>
    <w:p>
      <w:pPr>
        <w:ind w:left="0" w:firstLine="0"/>
      </w:pPr>
      <w:r>
        <w:t>8.  Provide appeal information.</w:t>
      </w:r>
    </w:p>
    <w:p>
      <w:pPr>
        <w:pStyle w:val="Heading1"/>
      </w:pPr>
      <w:r>
        <w:t>Article X — Sanctions and Remedies</w:t>
      </w:r>
    </w:p>
    <w:p>
      <w:pPr>
        <w:pStyle w:val="ListBullet"/>
      </w:pPr>
      <w:r>
        <w:t>Counsel or warning</w:t>
      </w:r>
    </w:p>
    <w:p>
      <w:pPr>
        <w:pStyle w:val="ListBullet"/>
      </w:pPr>
      <w:r>
        <w:t>Required education or supervision</w:t>
      </w:r>
    </w:p>
    <w:p>
      <w:pPr>
        <w:pStyle w:val="ListBullet"/>
      </w:pPr>
      <w:r>
        <w:t>Restitution or corrective action</w:t>
      </w:r>
    </w:p>
    <w:p>
      <w:pPr>
        <w:pStyle w:val="ListBullet"/>
      </w:pPr>
      <w:r>
        <w:t>Restriction of duties</w:t>
      </w:r>
    </w:p>
    <w:p>
      <w:pPr>
        <w:pStyle w:val="ListBullet"/>
      </w:pPr>
      <w:r>
        <w:t>Suspension of membership privileges</w:t>
      </w:r>
    </w:p>
    <w:p>
      <w:pPr>
        <w:pStyle w:val="ListBullet"/>
      </w:pPr>
      <w:r>
        <w:t>Removal from religious office</w:t>
      </w:r>
    </w:p>
    <w:p>
      <w:pPr>
        <w:pStyle w:val="ListBullet"/>
      </w:pPr>
      <w:r>
        <w:t>Credential suspension, restriction, or revocation</w:t>
      </w:r>
    </w:p>
    <w:p>
      <w:pPr>
        <w:pStyle w:val="ListBullet"/>
      </w:pPr>
      <w:r>
        <w:t>Termination of employment through separate civil process where applicable</w:t>
      </w:r>
    </w:p>
    <w:p>
      <w:pPr>
        <w:pStyle w:val="ListBullet"/>
      </w:pPr>
      <w:r>
        <w:t>Removal from membership</w:t>
      </w:r>
    </w:p>
    <w:p>
      <w:pPr>
        <w:pStyle w:val="ListBullet"/>
      </w:pPr>
      <w:r>
        <w:t>Permanent safeguarding restrictions where justified</w:t>
      </w:r>
    </w:p>
    <w:p>
      <w:r>
        <w:t>Sanctions should be proportionate to harm, culpability, abuse of trust, repetition, vulnerability of affected persons, candor, corrective action, and risk of recurrence. Forgiveness does not compel restoration to authority.</w:t>
      </w:r>
    </w:p>
    <w:p>
      <w:pPr>
        <w:pStyle w:val="Heading1"/>
      </w:pPr>
      <w:r>
        <w:t>Article XI — Leadership Cases</w:t>
      </w:r>
    </w:p>
    <w:p>
      <w:r>
        <w:t>Allegations involving the Founder, Presiding Spiritual Leader, senior ministers, members of the Ecclesiastical Council, Board members, constitutional guardians, or accountability officers must be routed to a body sufficiently independent of the respondent. No leader may select the sole investigator or adjudicator of a serious allegation against that leader.</w:t>
      </w:r>
    </w:p>
    <w:p>
      <w:pPr>
        <w:pStyle w:val="Heading1"/>
      </w:pPr>
      <w:r>
        <w:t>Article XII — Safeguarding and Civil Authorities</w:t>
      </w:r>
    </w:p>
    <w:p>
      <w:r>
        <w:t>Nothing in this Code authorizes obstruction of law enforcement, destruction of evidence, interference with mandated reporting, or pressure on a person not to contact civil authorities. Internal religious process does not replace civil reporting duties or a victim’s right to seek external remedies.</w:t>
      </w:r>
    </w:p>
    <w:p>
      <w:pPr>
        <w:pStyle w:val="Heading1"/>
      </w:pPr>
      <w:r>
        <w:t>Article XIII — Confidentiality and Transparency</w:t>
      </w:r>
    </w:p>
    <w:p>
      <w:r>
        <w:t>Information shall be limited to those with a legitimate need to know, but confidentiality shall not be used as a pretext for concealment. The institution may disclose findings, restrictions, or safety information when necessary to protect others, comply with law, verify credential status, or correct material public misrepresentations.</w:t>
      </w:r>
    </w:p>
    <w:p>
      <w:pPr>
        <w:pStyle w:val="Heading1"/>
      </w:pPr>
      <w:r>
        <w:t>Article XIV — Retaliation</w:t>
      </w:r>
    </w:p>
    <w:p>
      <w:r>
        <w:t>Retaliation for good-faith reporting, participation in an investigation, refusal to conceal misconduct, use of appeal rights, or lawful contact with external authorities constitutes independent misconduct.</w:t>
      </w:r>
    </w:p>
    <w:p>
      <w:pPr>
        <w:pStyle w:val="Heading1"/>
      </w:pPr>
      <w:r>
        <w:t>Article XV — Restoration</w:t>
      </w:r>
    </w:p>
    <w:p>
      <w:r>
        <w:t>Restoration may include spiritual reconciliation, renewed participation, or other forms of community healing. Restoration to membership, employment, credential, office, access to vulnerable persons, and public authority are separate decisions and may require different standards. Some forms of authority may permanently remain unavailable even when personal forgiveness or spiritual restoration occurs.</w:t>
      </w:r>
    </w:p>
    <w:p>
      <w:pPr>
        <w:pStyle w:val="Heading1"/>
      </w:pPr>
      <w:r>
        <w:t>Article XVI — Appeals</w:t>
      </w:r>
    </w:p>
    <w:p>
      <w:r>
        <w:t>An appeal may address procedural unfairness, material new evidence, conflict of interest, clearly erroneous findings, disproportionate sanction, or misapplication of governing standards. Appeal shall not ordinarily become a complete retrial without cause.</w:t>
      </w:r>
    </w:p>
    <w:p>
      <w:pPr>
        <w:pStyle w:val="Heading1"/>
      </w:pPr>
      <w:r>
        <w:t>Article XVII — Records</w:t>
      </w:r>
    </w:p>
    <w:p>
      <w:r>
        <w:t>The organization shall preserve material complaint, investigation, decision, credential, safeguarding, and appeal records according to a retention schedule appropriate to legal obligations, future safety, institutional memory, and fairness to affected persons. Records shall not be altered to protect reputation.</w:t>
      </w:r>
    </w:p>
    <w:p>
      <w:pPr>
        <w:pStyle w:val="Heading1"/>
      </w:pPr>
      <w:r>
        <w:t>Article XVIII — Freedom to Leave</w:t>
      </w:r>
    </w:p>
    <w:p>
      <w:r>
        <w:t>No person is required to remain a member to complete a disciplinary proceeding. A person who leaves remains free to communicate with family, friends, counsel, media, regulators, law enforcement, other religious communities, and support networks, subject only to ordinary lawful duties such as privacy rights of others.</w:t>
      </w:r>
    </w:p>
    <w:p>
      <w:pPr>
        <w:pStyle w:val="Heading1"/>
      </w:pPr>
      <w:r>
        <w:t>Article XIX — Institutional Self-Correction</w:t>
      </w:r>
    </w:p>
    <w:p>
      <w:pPr>
        <w:pStyle w:val="Principle"/>
      </w:pPr>
      <w:r>
        <w:t>A religious institution that can discipline ordinary members but cannot credibly investigate its most powerful leaders does not possess an adequate accountability system.</w:t>
      </w:r>
    </w:p>
    <w:p>
      <w:r>
        <w:br w:type="page"/>
      </w:r>
    </w:p>
    <w:p>
      <w:pPr>
        <w:pStyle w:val="Heading1"/>
      </w:pPr>
      <w:r>
        <w:t>Adoption and Certification</w:t>
      </w:r>
    </w:p>
    <w:p>
      <w:r>
        <w:t>This instrument becomes effective only upon valid adoption by the competent authority under the governing corpus. No draft language acquires binding religious force merely because it appears in a working copy.</w:t>
      </w:r>
    </w:p>
    <w:tbl>
      <w:tblPr>
        <w:tblStyle w:val="TableGrid"/>
        <w:tblW w:type="auto" w:w="0"/>
        <w:jc w:val="center"/>
        <w:tblLook w:firstColumn="1" w:firstRow="1" w:lastColumn="0" w:lastRow="0" w:noHBand="0" w:noVBand="1" w:val="04A0"/>
      </w:tblPr>
      <w:tblGrid>
        <w:gridCol w:w="5083"/>
        <w:gridCol w:w="5083"/>
      </w:tblGrid>
      <w:tr>
        <w:trPr>
          <w:tblHeader w:val="true"/>
          <w:cantSplit w:val="true"/>
        </w:trPr>
        <w:tc>
          <w:tcPr>
            <w:tcW w:type="dxa" w:w="5083"/>
            <w:shd w:fill="1F4E79"/>
            <w:vAlign w:val="center"/>
          </w:tcPr>
          <w:p>
            <w:r>
              <w:rPr>
                <w:b/>
                <w:color w:val="FFFFFF"/>
              </w:rPr>
              <w:t>Field</w:t>
            </w:r>
          </w:p>
        </w:tc>
        <w:tc>
          <w:tcPr>
            <w:tcW w:type="dxa" w:w="5083"/>
            <w:shd w:fill="1F4E79"/>
            <w:vAlign w:val="center"/>
          </w:tcPr>
          <w:p>
            <w:r>
              <w:rPr>
                <w:b/>
                <w:color w:val="FFFFFF"/>
              </w:rPr>
              <w:t>Entry</w:t>
            </w:r>
          </w:p>
        </w:tc>
      </w:tr>
      <w:tr>
        <w:trPr>
          <w:cantSplit w:val="true"/>
        </w:trPr>
        <w:tc>
          <w:tcPr>
            <w:tcW w:type="dxa" w:w="5083"/>
          </w:tcPr>
          <w:p>
            <w:r>
              <w:t>Corporation / Religious Body</w:t>
            </w:r>
          </w:p>
        </w:tc>
        <w:tc>
          <w:tcPr>
            <w:tcW w:type="dxa" w:w="5083"/>
          </w:tcPr>
          <w:p>
            <w:r>
              <w:t>[[CORP_NAME]]</w:t>
            </w:r>
          </w:p>
        </w:tc>
      </w:tr>
      <w:tr>
        <w:trPr>
          <w:cantSplit w:val="true"/>
        </w:trPr>
        <w:tc>
          <w:tcPr>
            <w:tcW w:type="dxa" w:w="5083"/>
          </w:tcPr>
          <w:p>
            <w:r>
              <w:t>Date of Adoption</w:t>
            </w:r>
          </w:p>
        </w:tc>
        <w:tc>
          <w:tcPr>
            <w:tcW w:type="dxa" w:w="5083"/>
          </w:tcPr>
          <w:p>
            <w:r>
              <w:t>[[DATE]]</w:t>
            </w:r>
          </w:p>
        </w:tc>
      </w:tr>
      <w:tr>
        <w:trPr>
          <w:cantSplit w:val="true"/>
        </w:trPr>
        <w:tc>
          <w:tcPr>
            <w:tcW w:type="dxa" w:w="5083"/>
          </w:tcPr>
          <w:p>
            <w:r>
              <w:t>Adopting Authority</w:t>
            </w:r>
          </w:p>
        </w:tc>
        <w:tc>
          <w:tcPr>
            <w:tcW w:type="dxa" w:w="5083"/>
          </w:tcPr>
          <w:p>
            <w:r>
              <w:t>[[ADOPTING_AUTHORITY]]</w:t>
            </w:r>
          </w:p>
        </w:tc>
      </w:tr>
      <w:tr>
        <w:trPr>
          <w:cantSplit w:val="true"/>
        </w:trPr>
        <w:tc>
          <w:tcPr>
            <w:tcW w:type="dxa" w:w="5083"/>
          </w:tcPr>
          <w:p>
            <w:r>
              <w:t>Ecclesiastical Approval</w:t>
            </w:r>
          </w:p>
        </w:tc>
        <w:tc>
          <w:tcPr>
            <w:tcW w:type="dxa" w:w="5083"/>
          </w:tcPr>
          <w:p>
            <w:r>
              <w:t>[[ECCLESIASTICAL_COUNCIL_APPROVAL]]</w:t>
            </w:r>
          </w:p>
        </w:tc>
      </w:tr>
      <w:tr>
        <w:trPr>
          <w:cantSplit w:val="true"/>
        </w:trPr>
        <w:tc>
          <w:tcPr>
            <w:tcW w:type="dxa" w:w="5083"/>
          </w:tcPr>
          <w:p>
            <w:r>
              <w:t>Version</w:t>
            </w:r>
          </w:p>
        </w:tc>
        <w:tc>
          <w:tcPr>
            <w:tcW w:type="dxa" w:w="5083"/>
          </w:tcPr>
          <w:p>
            <w:r>
              <w:t>0.1.0</w:t>
            </w:r>
          </w:p>
        </w:tc>
      </w:tr>
    </w:tbl>
    <w:p>
      <w:pPr>
        <w:pStyle w:val="Heading2"/>
      </w:pPr>
      <w:r>
        <w:t>Certification</w:t>
      </w:r>
    </w:p>
    <w:p>
      <w:r>
        <w:t>I certify that the foregoing instrument was duly adopted or approved as stated above and remains in force except as subsequently amended through valid process.</w:t>
      </w:r>
    </w:p>
    <w:p>
      <w:r>
        <w:br/>
        <w:t>________________________________________</w:t>
        <w:br/>
        <w:t>[[NAME / OFFICE]]</w:t>
        <w:br/>
        <w:t>[[DATE]]</w:t>
      </w:r>
    </w:p>
    <w:sectPr w:rsidR="00FC693F" w:rsidRPr="0006063C" w:rsidSect="00034616">
      <w:headerReference w:type="default" r:id="rId9"/>
      <w:footerReference w:type="default" r:id="rId10"/>
      <w:pgSz w:w="12240" w:h="15840"/>
      <w:pgMar w:top="936" w:right="1037" w:bottom="864" w:left="1037" w:header="432"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Page </w:t>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SmallNote"/>
    </w:pPr>
    <w:r>
      <w:t>CH-009  |  Code of Religious Discipline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00"/>
      <w:outlineLvl w:val="0"/>
    </w:pPr>
    <w:rPr>
      <w:rFonts w:asciiTheme="majorHAnsi" w:eastAsiaTheme="majorEastAsia" w:hAnsiTheme="majorHAnsi" w:cstheme="majorBidi" w:ascii="Aptos Display" w:hAnsi="Aptos Display"/>
      <w:b/>
      <w:bCs/>
      <w:color w:val="1F4E79"/>
      <w:sz w:val="34"/>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Aptos Display" w:hAnsi="Aptos Display"/>
      <w:b/>
      <w:bCs/>
      <w:color w:val="1F293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5B657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F4E79"/>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rPr>
      <w:rFonts w:ascii="Aptos" w:hAnsi="Aptos"/>
      <w:color w:val="5B6573"/>
      <w:sz w:val="17"/>
    </w:rPr>
  </w:style>
  <w:style w:type="paragraph" w:customStyle="1" w:styleId="Principle">
    <w:name w:val="Principle"/>
    <w:pPr>
      <w:spacing w:before="120" w:after="120"/>
      <w:ind w:left="360" w:right="360"/>
    </w:pPr>
    <w:rPr>
      <w:rFonts w:ascii="Aptos" w:hAnsi="Aptos"/>
      <w:b/>
      <w:color w:val="1F2937"/>
      <w:sz w:val="22"/>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