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Order of Worship and Liturgical Manual</w:t>
      </w:r>
    </w:p>
    <w:p>
      <w:pPr>
        <w:jc w:val="center"/>
      </w:pPr>
      <w:r>
        <w:rPr>
          <w:i/>
          <w:color w:val="5B6573"/>
          <w:sz w:val="24"/>
        </w:rPr>
        <w:t>A modular pattern for regular congregational worship</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Document ID</w:t>
            </w:r>
          </w:p>
        </w:tc>
        <w:tc>
          <w:tcPr>
            <w:tcW w:type="dxa" w:w="5083"/>
          </w:tcPr>
          <w:p>
            <w:r>
              <w:t>CH-010</w:t>
            </w:r>
          </w:p>
        </w:tc>
      </w:tr>
      <w:tr>
        <w:tc>
          <w:tcPr>
            <w:tcW w:type="dxa" w:w="5083"/>
            <w:shd w:fill="D9EAF7"/>
          </w:tcPr>
          <w:p>
            <w:r>
              <w:rPr>
                <w:b/>
              </w:rPr>
              <w:t>Version</w:t>
            </w:r>
          </w:p>
        </w:tc>
        <w:tc>
          <w:tcPr>
            <w:tcW w:type="dxa" w:w="5083"/>
          </w:tcPr>
          <w:p>
            <w:r>
              <w:t>0.1.0</w:t>
            </w:r>
          </w:p>
        </w:tc>
      </w:tr>
      <w:tr>
        <w:tc>
          <w:tcPr>
            <w:tcW w:type="dxa" w:w="5083"/>
            <w:shd w:fill="D9EAF7"/>
          </w:tcPr>
          <w:p>
            <w:r>
              <w:rPr>
                <w:b/>
              </w:rPr>
              <w:t>Status</w:t>
            </w:r>
          </w:p>
        </w:tc>
        <w:tc>
          <w:tcPr>
            <w:tcW w:type="dxa" w:w="5083"/>
          </w:tcPr>
          <w:p>
            <w:r>
              <w:t>Provisional Working Draft</w:t>
            </w:r>
          </w:p>
        </w:tc>
      </w:tr>
      <w:tr>
        <w:tc>
          <w:tcPr>
            <w:tcW w:type="dxa" w:w="5083"/>
            <w:shd w:fill="D9EAF7"/>
          </w:tcPr>
          <w:p>
            <w:r>
              <w:rPr>
                <w:b/>
              </w:rPr>
              <w:t>Classification</w:t>
            </w:r>
          </w:p>
        </w:tc>
        <w:tc>
          <w:tcPr>
            <w:tcW w:type="dxa" w:w="5083"/>
          </w:tcPr>
          <w:p>
            <w:r>
              <w:t>Religious Governing Instrument</w:t>
            </w:r>
          </w:p>
        </w:tc>
      </w:tr>
      <w:tr>
        <w:tc>
          <w:tcPr>
            <w:tcW w:type="dxa" w:w="5083"/>
            <w:shd w:fill="D9EAF7"/>
          </w:tcPr>
          <w:p>
            <w:r>
              <w:rPr>
                <w:b/>
              </w:rPr>
              <w:t>Organization</w:t>
            </w:r>
          </w:p>
        </w:tc>
        <w:tc>
          <w:tcPr>
            <w:tcW w:type="dxa" w:w="5083"/>
          </w:tcPr>
          <w:p>
            <w:r>
              <w:t>[[CORP_NAME]]</w:t>
            </w:r>
          </w:p>
        </w:tc>
      </w:tr>
      <w:tr>
        <w:tc>
          <w:tcPr>
            <w:tcW w:type="dxa" w:w="5083"/>
            <w:shd w:fill="D9EAF7"/>
          </w:tcPr>
          <w:p>
            <w:r>
              <w:rPr>
                <w:b/>
              </w:rPr>
              <w:t>Adoption Date</w:t>
            </w:r>
          </w:p>
        </w:tc>
        <w:tc>
          <w:tcPr>
            <w:tcW w:type="dxa" w:w="5083"/>
          </w:tcPr>
          <w:p>
            <w:r>
              <w:t>[[DATE]]</w:t>
            </w:r>
          </w:p>
        </w:tc>
      </w:tr>
    </w:tbl>
    <w:p/>
    <w:p>
      <w:pPr>
        <w:pStyle w:val="SmallNote"/>
      </w:pPr>
      <w:r>
        <w:rPr>
          <w:b/>
        </w:rPr>
        <w:t xml:space="preserve">Drafting note: </w:t>
      </w:r>
      <w:r>
        <w:t>Bracketed fields identify facts or decisions that must be verified before adoption. Provisional religious language is intentionally distinguished from binding doctrine.</w:t>
      </w:r>
    </w:p>
    <w:p>
      <w:r>
        <w:br w:type="page"/>
      </w:r>
    </w:p>
    <w:p>
      <w:pPr>
        <w:pStyle w:val="Heading1"/>
      </w:pPr>
      <w:r>
        <w:t>Preamble</w:t>
      </w:r>
    </w:p>
    <w:p>
      <w:r>
        <w:t>This Manual establishes a recognizable and repeatable form of communal worship without pretending that every element has already acquired final theological meaning. It is modular so that the community may mature liturgically while retaining continuity and reliable records.</w:t>
      </w:r>
    </w:p>
    <w:p>
      <w:pPr>
        <w:pStyle w:val="Heading1"/>
      </w:pPr>
      <w:r>
        <w:t>Article I — Purposes of Worship</w:t>
      </w:r>
    </w:p>
    <w:p>
      <w:pPr>
        <w:pStyle w:val="ListBullet"/>
      </w:pPr>
      <w:r>
        <w:t>Orient communal attention toward the sacred and ultimate.</w:t>
      </w:r>
    </w:p>
    <w:p>
      <w:pPr>
        <w:pStyle w:val="ListBullet"/>
      </w:pPr>
      <w:r>
        <w:t>Cultivate gratitude, reverence, humility, truthfulness, compassion, and ethical commitment.</w:t>
      </w:r>
    </w:p>
    <w:p>
      <w:pPr>
        <w:pStyle w:val="ListBullet"/>
      </w:pPr>
      <w:r>
        <w:t>Remember and examine testimonies of claimed encounter with transcendent reality.</w:t>
      </w:r>
    </w:p>
    <w:p>
      <w:pPr>
        <w:pStyle w:val="ListBullet"/>
      </w:pPr>
      <w:r>
        <w:t>Provide structured prayer, silence, contemplation, teaching, and mutual care.</w:t>
      </w:r>
    </w:p>
    <w:p>
      <w:pPr>
        <w:pStyle w:val="ListBullet"/>
      </w:pPr>
      <w:r>
        <w:t>Form a community capable of shared religious life without requiring intellectual uniformity beyond adopted doctrine.</w:t>
      </w:r>
    </w:p>
    <w:p>
      <w:pPr>
        <w:pStyle w:val="Heading1"/>
      </w:pPr>
      <w:r>
        <w:t>Article II — Regular Service Pattern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Movement</w:t>
            </w:r>
          </w:p>
        </w:tc>
        <w:tc>
          <w:tcPr>
            <w:tcW w:type="dxa" w:w="3389"/>
            <w:shd w:fill="1F4E79"/>
            <w:vAlign w:val="center"/>
          </w:tcPr>
          <w:p>
            <w:r>
              <w:rPr>
                <w:b/>
                <w:color w:val="FFFFFF"/>
              </w:rPr>
              <w:t>Typical Duration</w:t>
            </w:r>
          </w:p>
        </w:tc>
        <w:tc>
          <w:tcPr>
            <w:tcW w:type="dxa" w:w="3389"/>
            <w:shd w:fill="1F4E79"/>
            <w:vAlign w:val="center"/>
          </w:tcPr>
          <w:p>
            <w:r>
              <w:rPr>
                <w:b/>
                <w:color w:val="FFFFFF"/>
              </w:rPr>
              <w:t>Function</w:t>
            </w:r>
          </w:p>
        </w:tc>
      </w:tr>
      <w:tr>
        <w:trPr>
          <w:cantSplit w:val="true"/>
        </w:trPr>
        <w:tc>
          <w:tcPr>
            <w:tcW w:type="dxa" w:w="3389"/>
          </w:tcPr>
          <w:p>
            <w:r>
              <w:t>Gathering and Welcome</w:t>
            </w:r>
          </w:p>
        </w:tc>
        <w:tc>
          <w:tcPr>
            <w:tcW w:type="dxa" w:w="3389"/>
          </w:tcPr>
          <w:p>
            <w:r>
              <w:t>5 min</w:t>
            </w:r>
          </w:p>
        </w:tc>
        <w:tc>
          <w:tcPr>
            <w:tcW w:type="dxa" w:w="3389"/>
          </w:tcPr>
          <w:p>
            <w:r>
              <w:t>Assemble community; orient participants</w:t>
            </w:r>
          </w:p>
        </w:tc>
      </w:tr>
      <w:tr>
        <w:trPr>
          <w:cantSplit w:val="true"/>
        </w:trPr>
        <w:tc>
          <w:tcPr>
            <w:tcW w:type="dxa" w:w="3389"/>
          </w:tcPr>
          <w:p>
            <w:r>
              <w:t>Invocation / Opening Silence</w:t>
            </w:r>
          </w:p>
        </w:tc>
        <w:tc>
          <w:tcPr>
            <w:tcW w:type="dxa" w:w="3389"/>
          </w:tcPr>
          <w:p>
            <w:r>
              <w:t>3–5 min</w:t>
            </w:r>
          </w:p>
        </w:tc>
        <w:tc>
          <w:tcPr>
            <w:tcW w:type="dxa" w:w="3389"/>
          </w:tcPr>
          <w:p>
            <w:r>
              <w:t>Enter a posture of reverence and attention</w:t>
            </w:r>
          </w:p>
        </w:tc>
      </w:tr>
      <w:tr>
        <w:trPr>
          <w:cantSplit w:val="true"/>
        </w:trPr>
        <w:tc>
          <w:tcPr>
            <w:tcW w:type="dxa" w:w="3389"/>
          </w:tcPr>
          <w:p>
            <w:r>
              <w:t>Reading / Testimony</w:t>
            </w:r>
          </w:p>
        </w:tc>
        <w:tc>
          <w:tcPr>
            <w:tcW w:type="dxa" w:w="3389"/>
          </w:tcPr>
          <w:p>
            <w:r>
              <w:t>10 min</w:t>
            </w:r>
          </w:p>
        </w:tc>
        <w:tc>
          <w:tcPr>
            <w:tcW w:type="dxa" w:w="3389"/>
          </w:tcPr>
          <w:p>
            <w:r>
              <w:t>Engage sacred, historical, philosophical, or religious sources</w:t>
            </w:r>
          </w:p>
        </w:tc>
      </w:tr>
      <w:tr>
        <w:trPr>
          <w:cantSplit w:val="true"/>
        </w:trPr>
        <w:tc>
          <w:tcPr>
            <w:tcW w:type="dxa" w:w="3389"/>
          </w:tcPr>
          <w:p>
            <w:r>
              <w:t>Prayer / Meditation / Chant</w:t>
            </w:r>
          </w:p>
        </w:tc>
        <w:tc>
          <w:tcPr>
            <w:tcW w:type="dxa" w:w="3389"/>
          </w:tcPr>
          <w:p>
            <w:r>
              <w:t>10 min</w:t>
            </w:r>
          </w:p>
        </w:tc>
        <w:tc>
          <w:tcPr>
            <w:tcW w:type="dxa" w:w="3389"/>
          </w:tcPr>
          <w:p>
            <w:r>
              <w:t>Communal contemplative practice</w:t>
            </w:r>
          </w:p>
        </w:tc>
      </w:tr>
      <w:tr>
        <w:trPr>
          <w:cantSplit w:val="true"/>
        </w:trPr>
        <w:tc>
          <w:tcPr>
            <w:tcW w:type="dxa" w:w="3389"/>
          </w:tcPr>
          <w:p>
            <w:r>
              <w:t>Teaching / Homily</w:t>
            </w:r>
          </w:p>
        </w:tc>
        <w:tc>
          <w:tcPr>
            <w:tcW w:type="dxa" w:w="3389"/>
          </w:tcPr>
          <w:p>
            <w:r>
              <w:t>20–30 min</w:t>
            </w:r>
          </w:p>
        </w:tc>
        <w:tc>
          <w:tcPr>
            <w:tcW w:type="dxa" w:w="3389"/>
          </w:tcPr>
          <w:p>
            <w:r>
              <w:t>Interpret, examine, and apply religious material</w:t>
            </w:r>
          </w:p>
        </w:tc>
      </w:tr>
      <w:tr>
        <w:trPr>
          <w:cantSplit w:val="true"/>
        </w:trPr>
        <w:tc>
          <w:tcPr>
            <w:tcW w:type="dxa" w:w="3389"/>
          </w:tcPr>
          <w:p>
            <w:r>
              <w:t>Discernment / Response</w:t>
            </w:r>
          </w:p>
        </w:tc>
        <w:tc>
          <w:tcPr>
            <w:tcW w:type="dxa" w:w="3389"/>
          </w:tcPr>
          <w:p>
            <w:r>
              <w:t>10–20 min</w:t>
            </w:r>
          </w:p>
        </w:tc>
        <w:tc>
          <w:tcPr>
            <w:tcW w:type="dxa" w:w="3389"/>
          </w:tcPr>
          <w:p>
            <w:r>
              <w:t>Questions, reflection, testimony, or communal response</w:t>
            </w:r>
          </w:p>
        </w:tc>
      </w:tr>
      <w:tr>
        <w:trPr>
          <w:cantSplit w:val="true"/>
        </w:trPr>
        <w:tc>
          <w:tcPr>
            <w:tcW w:type="dxa" w:w="3389"/>
          </w:tcPr>
          <w:p>
            <w:r>
              <w:t>Rite / Shared Practice</w:t>
            </w:r>
          </w:p>
        </w:tc>
        <w:tc>
          <w:tcPr>
            <w:tcW w:type="dxa" w:w="3389"/>
          </w:tcPr>
          <w:p>
            <w:r>
              <w:t>Variable</w:t>
            </w:r>
          </w:p>
        </w:tc>
        <w:tc>
          <w:tcPr>
            <w:tcW w:type="dxa" w:w="3389"/>
          </w:tcPr>
          <w:p>
            <w:r>
              <w:t>Conduct authorized rite where scheduled</w:t>
            </w:r>
          </w:p>
        </w:tc>
      </w:tr>
      <w:tr>
        <w:trPr>
          <w:cantSplit w:val="true"/>
        </w:trPr>
        <w:tc>
          <w:tcPr>
            <w:tcW w:type="dxa" w:w="3389"/>
          </w:tcPr>
          <w:p>
            <w:r>
              <w:t>Intercession / Ethical Commitment</w:t>
            </w:r>
          </w:p>
        </w:tc>
        <w:tc>
          <w:tcPr>
            <w:tcW w:type="dxa" w:w="3389"/>
          </w:tcPr>
          <w:p>
            <w:r>
              <w:t>5–10 min</w:t>
            </w:r>
          </w:p>
        </w:tc>
        <w:tc>
          <w:tcPr>
            <w:tcW w:type="dxa" w:w="3389"/>
          </w:tcPr>
          <w:p>
            <w:r>
              <w:t>Prayer for persons/community; commitments to service</w:t>
            </w:r>
          </w:p>
        </w:tc>
      </w:tr>
      <w:tr>
        <w:trPr>
          <w:cantSplit w:val="true"/>
        </w:trPr>
        <w:tc>
          <w:tcPr>
            <w:tcW w:type="dxa" w:w="3389"/>
          </w:tcPr>
          <w:p>
            <w:r>
              <w:t>Offering</w:t>
            </w:r>
          </w:p>
        </w:tc>
        <w:tc>
          <w:tcPr>
            <w:tcW w:type="dxa" w:w="3389"/>
          </w:tcPr>
          <w:p>
            <w:r>
              <w:t>Optional</w:t>
            </w:r>
          </w:p>
        </w:tc>
        <w:tc>
          <w:tcPr>
            <w:tcW w:type="dxa" w:w="3389"/>
          </w:tcPr>
          <w:p>
            <w:r>
              <w:t>Voluntary support; never admission price</w:t>
            </w:r>
          </w:p>
        </w:tc>
      </w:tr>
      <w:tr>
        <w:trPr>
          <w:cantSplit w:val="true"/>
        </w:trPr>
        <w:tc>
          <w:tcPr>
            <w:tcW w:type="dxa" w:w="3389"/>
          </w:tcPr>
          <w:p>
            <w:r>
              <w:t>Benediction / Dismissal</w:t>
            </w:r>
          </w:p>
        </w:tc>
        <w:tc>
          <w:tcPr>
            <w:tcW w:type="dxa" w:w="3389"/>
          </w:tcPr>
          <w:p>
            <w:r>
              <w:t>3–5 min</w:t>
            </w:r>
          </w:p>
        </w:tc>
        <w:tc>
          <w:tcPr>
            <w:tcW w:type="dxa" w:w="3389"/>
          </w:tcPr>
          <w:p>
            <w:r>
              <w:t>Close worship and commission participants to ethical life</w:t>
            </w:r>
          </w:p>
        </w:tc>
      </w:tr>
      <w:tr>
        <w:trPr>
          <w:cantSplit w:val="true"/>
        </w:trPr>
        <w:tc>
          <w:tcPr>
            <w:tcW w:type="dxa" w:w="3389"/>
          </w:tcPr>
          <w:p>
            <w:r>
              <w:t>Fellowship</w:t>
            </w:r>
          </w:p>
        </w:tc>
        <w:tc>
          <w:tcPr>
            <w:tcW w:type="dxa" w:w="3389"/>
          </w:tcPr>
          <w:p>
            <w:r>
              <w:t>Optional</w:t>
            </w:r>
          </w:p>
        </w:tc>
        <w:tc>
          <w:tcPr>
            <w:tcW w:type="dxa" w:w="3389"/>
          </w:tcPr>
          <w:p>
            <w:r>
              <w:t>Non-liturgical communal relationship</w:t>
            </w:r>
          </w:p>
        </w:tc>
      </w:tr>
    </w:tbl>
    <w:p>
      <w:pPr>
        <w:pStyle w:val="Heading1"/>
      </w:pPr>
      <w:r>
        <w:t>Article III — Required Elements of a Regular Service</w:t>
      </w:r>
    </w:p>
    <w:p>
      <w:pPr>
        <w:pStyle w:val="ListBullet"/>
      </w:pPr>
      <w:r>
        <w:t>A clear opening and closing.</w:t>
      </w:r>
    </w:p>
    <w:p>
      <w:pPr>
        <w:pStyle w:val="ListBullet"/>
      </w:pPr>
      <w:r>
        <w:t>At least one period of prayer, contemplation, reverence, or equivalent religious practice.</w:t>
      </w:r>
    </w:p>
    <w:p>
      <w:pPr>
        <w:pStyle w:val="ListBullet"/>
      </w:pPr>
      <w:r>
        <w:t>Religious teaching, reading, reflection, testimony, or interpretation.</w:t>
      </w:r>
    </w:p>
    <w:p>
      <w:pPr>
        <w:pStyle w:val="ListBullet"/>
      </w:pPr>
      <w:r>
        <w:t>A communal element in which participants are more than passive media consumers.</w:t>
      </w:r>
    </w:p>
    <w:p>
      <w:pPr>
        <w:pStyle w:val="ListBullet"/>
      </w:pPr>
      <w:r>
        <w:t>A service record identifying date, place, presider, attendance categories, teaching, readings, rites, and offering if any.</w:t>
      </w:r>
    </w:p>
    <w:p>
      <w:pPr>
        <w:pStyle w:val="Heading1"/>
      </w:pPr>
      <w:r>
        <w:t>Article IV — Source Readings</w:t>
      </w:r>
    </w:p>
    <w:p>
      <w:r>
        <w:t>A reading used in worship does not become canonical merely by being read. Programs should identify the source and, when useful, its status: canonical, traditional, historical testimony, comparative religious source, scholarly commentary, poetic meditation, or other classification.</w:t>
      </w:r>
    </w:p>
    <w:p>
      <w:pPr>
        <w:pStyle w:val="Heading1"/>
      </w:pPr>
      <w:r>
        <w:t>Article V — Teaching</w:t>
      </w:r>
    </w:p>
    <w:p>
      <w:r>
        <w:t>Teachers should distinguish binding doctrine from interpretation, hypothesis, historical reconstruction, pastoral counsel, and personal opinion. Statements such as “the community teaches,” “the evidence suggests,” “one interpretation is,” and “I personally think” should not be collapsed into one another.</w:t>
      </w:r>
    </w:p>
    <w:p>
      <w:pPr>
        <w:pStyle w:val="Heading1"/>
      </w:pPr>
      <w:r>
        <w:t>Article VI — Prayer and Contemplation</w:t>
      </w:r>
    </w:p>
    <w:p>
      <w:r>
        <w:t>Authorized forms may include spoken prayer, responsive prayer, silence, meditation, chant, breath-centered attention, intercession, gratitude, confession, lament, contemplation, or other practices consistent with adopted doctrine and safeguarding standards.</w:t>
      </w:r>
    </w:p>
    <w:p>
      <w:pPr>
        <w:pStyle w:val="Heading1"/>
      </w:pPr>
      <w:r>
        <w:t>Article VII — Music and Artistic Expression</w:t>
      </w:r>
    </w:p>
    <w:p>
      <w:r>
        <w:t>Music, poetry, visual art, movement, and other expression may support worship. Artistic intensity shall not be treated as proof of supernatural presence or used deliberately to overwhelm participants into commitments they have not freely considered.</w:t>
      </w:r>
    </w:p>
    <w:p>
      <w:pPr>
        <w:pStyle w:val="Heading1"/>
      </w:pPr>
      <w:r>
        <w:t>Article VIII — Testimony and Claimed Spiritual Experience</w:t>
      </w:r>
    </w:p>
    <w:p>
      <w:r>
        <w:t>Members may describe personal religious experiences. A testimony should be presented as the speaker’s account, not automatically as communal doctrine or verified supernatural fact. Leaders may pause or redirect testimony that creates safety concerns, manipulates others, or claims unauthorized authority over members.</w:t>
      </w:r>
    </w:p>
    <w:p>
      <w:pPr>
        <w:pStyle w:val="Heading1"/>
      </w:pPr>
      <w:r>
        <w:t>Article IX — Offerings</w:t>
      </w:r>
    </w:p>
    <w:p>
      <w:pPr>
        <w:pStyle w:val="ListBullet"/>
      </w:pPr>
      <w:r>
        <w:t>Giving is voluntary.</w:t>
      </w:r>
    </w:p>
    <w:p>
      <w:pPr>
        <w:pStyle w:val="ListBullet"/>
      </w:pPr>
      <w:r>
        <w:t>No worshipper purchases access, status, salvation, healing, prophecy, ordination, preferential treatment, or leadership through giving.</w:t>
      </w:r>
    </w:p>
    <w:p>
      <w:pPr>
        <w:pStyle w:val="ListBullet"/>
      </w:pPr>
      <w:r>
        <w:t>Financial appeals shall avoid threats of divine punishment, guaranteed supernatural return, or pressure targeted at vulnerable persons.</w:t>
      </w:r>
    </w:p>
    <w:p>
      <w:pPr>
        <w:pStyle w:val="ListBullet"/>
      </w:pPr>
      <w:r>
        <w:t>Offerings are counted, deposited, and recorded under financial-control procedures.</w:t>
      </w:r>
    </w:p>
    <w:p>
      <w:pPr>
        <w:pStyle w:val="Heading1"/>
      </w:pPr>
      <w:r>
        <w:t>Article X — Participation of Children and Vulnerable Persons</w:t>
      </w:r>
    </w:p>
    <w:p>
      <w:r>
        <w:t>Services involving minors or vulnerable persons shall follow safeguarding rules, appropriate supervision, consent practices, and reasonable accommodations. No rite or testimony practice may expose private information unnecessarily.</w:t>
      </w:r>
    </w:p>
    <w:p>
      <w:pPr>
        <w:pStyle w:val="Heading1"/>
      </w:pPr>
      <w:r>
        <w:t>Article XI — Online and Hybrid Worship</w:t>
      </w:r>
    </w:p>
    <w:p>
      <w:r>
        <w:t>Live remote participation may be integrated through readings, prayer, discussion, or other genuine interaction. Attendance records shall distinguish physical attendance, synchronous remote participation, and later media views.</w:t>
      </w:r>
    </w:p>
    <w:p>
      <w:pPr>
        <w:pStyle w:val="Heading1"/>
      </w:pPr>
      <w:r>
        <w:t>Article XII — Service Variants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Service Type</w:t>
            </w:r>
          </w:p>
        </w:tc>
        <w:tc>
          <w:tcPr>
            <w:tcW w:type="dxa" w:w="5083"/>
            <w:shd w:fill="1F4E79"/>
            <w:vAlign w:val="center"/>
          </w:tcPr>
          <w:p>
            <w:r>
              <w:rPr>
                <w:b/>
                <w:color w:val="FFFFFF"/>
              </w:rPr>
              <w:t>Purpose</w:t>
            </w:r>
          </w:p>
        </w:tc>
      </w:tr>
      <w:tr>
        <w:trPr>
          <w:cantSplit w:val="true"/>
        </w:trPr>
        <w:tc>
          <w:tcPr>
            <w:tcW w:type="dxa" w:w="5083"/>
          </w:tcPr>
          <w:p>
            <w:r>
              <w:t>Regular Congregational Worship</w:t>
            </w:r>
          </w:p>
        </w:tc>
        <w:tc>
          <w:tcPr>
            <w:tcW w:type="dxa" w:w="5083"/>
          </w:tcPr>
          <w:p>
            <w:r>
              <w:t>Primary recurring communal service</w:t>
            </w:r>
          </w:p>
        </w:tc>
      </w:tr>
      <w:tr>
        <w:trPr>
          <w:cantSplit w:val="true"/>
        </w:trPr>
        <w:tc>
          <w:tcPr>
            <w:tcW w:type="dxa" w:w="5083"/>
          </w:tcPr>
          <w:p>
            <w:r>
              <w:t>Contemplative Service</w:t>
            </w:r>
          </w:p>
        </w:tc>
        <w:tc>
          <w:tcPr>
            <w:tcW w:type="dxa" w:w="5083"/>
          </w:tcPr>
          <w:p>
            <w:r>
              <w:t>Extended silence, meditation, prayer, chant</w:t>
            </w:r>
          </w:p>
        </w:tc>
      </w:tr>
      <w:tr>
        <w:trPr>
          <w:cantSplit w:val="true"/>
        </w:trPr>
        <w:tc>
          <w:tcPr>
            <w:tcW w:type="dxa" w:w="5083"/>
          </w:tcPr>
          <w:p>
            <w:r>
              <w:t>Study and Discernment Service</w:t>
            </w:r>
          </w:p>
        </w:tc>
        <w:tc>
          <w:tcPr>
            <w:tcW w:type="dxa" w:w="5083"/>
          </w:tcPr>
          <w:p>
            <w:r>
              <w:t>Close examination of sources and claims</w:t>
            </w:r>
          </w:p>
        </w:tc>
      </w:tr>
      <w:tr>
        <w:trPr>
          <w:cantSplit w:val="true"/>
        </w:trPr>
        <w:tc>
          <w:tcPr>
            <w:tcW w:type="dxa" w:w="5083"/>
          </w:tcPr>
          <w:p>
            <w:r>
              <w:t>Festival / Holy-Day Service</w:t>
            </w:r>
          </w:p>
        </w:tc>
        <w:tc>
          <w:tcPr>
            <w:tcW w:type="dxa" w:w="5083"/>
          </w:tcPr>
          <w:p>
            <w:r>
              <w:t>Annual or seasonal observance</w:t>
            </w:r>
          </w:p>
        </w:tc>
      </w:tr>
      <w:tr>
        <w:trPr>
          <w:cantSplit w:val="true"/>
        </w:trPr>
        <w:tc>
          <w:tcPr>
            <w:tcW w:type="dxa" w:w="5083"/>
          </w:tcPr>
          <w:p>
            <w:r>
              <w:t>Memorial / Funeral</w:t>
            </w:r>
          </w:p>
        </w:tc>
        <w:tc>
          <w:tcPr>
            <w:tcW w:type="dxa" w:w="5083"/>
          </w:tcPr>
          <w:p>
            <w:r>
              <w:t>Rite for death and communal mourning</w:t>
            </w:r>
          </w:p>
        </w:tc>
      </w:tr>
      <w:tr>
        <w:trPr>
          <w:cantSplit w:val="true"/>
        </w:trPr>
        <w:tc>
          <w:tcPr>
            <w:tcW w:type="dxa" w:w="5083"/>
          </w:tcPr>
          <w:p>
            <w:r>
              <w:t>Marriage / Covenant Service</w:t>
            </w:r>
          </w:p>
        </w:tc>
        <w:tc>
          <w:tcPr>
            <w:tcW w:type="dxa" w:w="5083"/>
          </w:tcPr>
          <w:p>
            <w:r>
              <w:t>Public religious solemnization where authorized</w:t>
            </w:r>
          </w:p>
        </w:tc>
      </w:tr>
      <w:tr>
        <w:trPr>
          <w:cantSplit w:val="true"/>
        </w:trPr>
        <w:tc>
          <w:tcPr>
            <w:tcW w:type="dxa" w:w="5083"/>
          </w:tcPr>
          <w:p>
            <w:r>
              <w:t>Ordination / Commissioning</w:t>
            </w:r>
          </w:p>
        </w:tc>
        <w:tc>
          <w:tcPr>
            <w:tcW w:type="dxa" w:w="5083"/>
          </w:tcPr>
          <w:p>
            <w:r>
              <w:t>Entrust ministry authority</w:t>
            </w:r>
          </w:p>
        </w:tc>
      </w:tr>
      <w:tr>
        <w:trPr>
          <w:cantSplit w:val="true"/>
        </w:trPr>
        <w:tc>
          <w:tcPr>
            <w:tcW w:type="dxa" w:w="5083"/>
          </w:tcPr>
          <w:p>
            <w:r>
              <w:t>Healing / Care Service</w:t>
            </w:r>
          </w:p>
        </w:tc>
        <w:tc>
          <w:tcPr>
            <w:tcW w:type="dxa" w:w="5083"/>
          </w:tcPr>
          <w:p>
            <w:r>
              <w:t>Prayer, support, lament, anointing or equivalent practice without medical misrepresentation</w:t>
            </w:r>
          </w:p>
        </w:tc>
      </w:tr>
    </w:tbl>
    <w:p>
      <w:pPr>
        <w:pStyle w:val="Heading1"/>
      </w:pPr>
      <w:r>
        <w:t>Article XIII — Sample Regular Order</w:t>
      </w:r>
    </w:p>
    <w:p>
      <w:pPr>
        <w:ind w:left="0" w:firstLine="0"/>
      </w:pPr>
      <w:r>
        <w:t>1.  Welcome and statement of purpose</w:t>
      </w:r>
    </w:p>
    <w:p>
      <w:pPr>
        <w:ind w:left="0" w:firstLine="0"/>
      </w:pPr>
      <w:r>
        <w:t>2.  Opening silence</w:t>
      </w:r>
    </w:p>
    <w:p>
      <w:pPr>
        <w:ind w:left="0" w:firstLine="0"/>
      </w:pPr>
      <w:r>
        <w:t>3.  Invocation</w:t>
      </w:r>
    </w:p>
    <w:p>
      <w:pPr>
        <w:ind w:left="0" w:firstLine="0"/>
      </w:pPr>
      <w:r>
        <w:t>4.  Reading I: selected religious or historical source</w:t>
      </w:r>
    </w:p>
    <w:p>
      <w:pPr>
        <w:ind w:left="0" w:firstLine="0"/>
      </w:pPr>
      <w:r>
        <w:t>5.  Reading II: comparative or interpretive source</w:t>
      </w:r>
    </w:p>
    <w:p>
      <w:pPr>
        <w:ind w:left="0" w:firstLine="0"/>
      </w:pPr>
      <w:r>
        <w:t>6.  Chant / hymn / contemplative response</w:t>
      </w:r>
    </w:p>
    <w:p>
      <w:pPr>
        <w:ind w:left="0" w:firstLine="0"/>
      </w:pPr>
      <w:r>
        <w:t>7.  Teaching or homily</w:t>
      </w:r>
    </w:p>
    <w:p>
      <w:pPr>
        <w:ind w:left="0" w:firstLine="0"/>
      </w:pPr>
      <w:r>
        <w:t>8.  Silence for reflection</w:t>
      </w:r>
    </w:p>
    <w:p>
      <w:pPr>
        <w:ind w:left="0" w:firstLine="0"/>
      </w:pPr>
      <w:r>
        <w:t>9.  Congregational questions or response</w:t>
      </w:r>
    </w:p>
    <w:p>
      <w:pPr>
        <w:ind w:left="0" w:firstLine="0"/>
      </w:pPr>
      <w:r>
        <w:t>10.  Intercessions and prayers</w:t>
      </w:r>
    </w:p>
    <w:p>
      <w:pPr>
        <w:ind w:left="0" w:firstLine="0"/>
      </w:pPr>
      <w:r>
        <w:t>11.  Announcements limited to community life</w:t>
      </w:r>
    </w:p>
    <w:p>
      <w:pPr>
        <w:ind w:left="0" w:firstLine="0"/>
      </w:pPr>
      <w:r>
        <w:t>12.  Voluntary offering</w:t>
      </w:r>
    </w:p>
    <w:p>
      <w:pPr>
        <w:ind w:left="0" w:firstLine="0"/>
      </w:pPr>
      <w:r>
        <w:t>13.  Benediction</w:t>
      </w:r>
    </w:p>
    <w:p>
      <w:pPr>
        <w:ind w:left="0" w:firstLine="0"/>
      </w:pPr>
      <w:r>
        <w:t>14.  Fellowship</w:t>
      </w:r>
    </w:p>
    <w:p>
      <w:pPr>
        <w:pStyle w:val="Heading1"/>
      </w:pPr>
      <w:r>
        <w:t>Article XIV — Service Record Standard</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Required Entry</w:t>
            </w:r>
          </w:p>
        </w:tc>
      </w:tr>
      <w:tr>
        <w:trPr>
          <w:cantSplit w:val="true"/>
        </w:trPr>
        <w:tc>
          <w:tcPr>
            <w:tcW w:type="dxa" w:w="5083"/>
          </w:tcPr>
          <w:p>
            <w:r>
              <w:t>Service ID</w:t>
            </w:r>
          </w:p>
        </w:tc>
        <w:tc>
          <w:tcPr>
            <w:tcW w:type="dxa" w:w="5083"/>
          </w:tcPr>
          <w:p>
            <w:r>
              <w:t>SR-YYYY-MM-DD[-NN]</w:t>
            </w:r>
          </w:p>
        </w:tc>
      </w:tr>
      <w:tr>
        <w:trPr>
          <w:cantSplit w:val="true"/>
        </w:trPr>
        <w:tc>
          <w:tcPr>
            <w:tcW w:type="dxa" w:w="5083"/>
          </w:tcPr>
          <w:p>
            <w:r>
              <w:t>Date / time</w:t>
            </w:r>
          </w:p>
        </w:tc>
        <w:tc>
          <w:tcPr>
            <w:tcW w:type="dxa" w:w="5083"/>
          </w:tcPr>
          <w:p>
            <w:r>
              <w:t>Actual</w:t>
            </w:r>
          </w:p>
        </w:tc>
      </w:tr>
      <w:tr>
        <w:trPr>
          <w:cantSplit w:val="true"/>
        </w:trPr>
        <w:tc>
          <w:tcPr>
            <w:tcW w:type="dxa" w:w="5083"/>
          </w:tcPr>
          <w:p>
            <w:r>
              <w:t>Location</w:t>
            </w:r>
          </w:p>
        </w:tc>
        <w:tc>
          <w:tcPr>
            <w:tcW w:type="dxa" w:w="5083"/>
          </w:tcPr>
          <w:p>
            <w:r>
              <w:t>Physical and online platform if applicable</w:t>
            </w:r>
          </w:p>
        </w:tc>
      </w:tr>
      <w:tr>
        <w:trPr>
          <w:cantSplit w:val="true"/>
        </w:trPr>
        <w:tc>
          <w:tcPr>
            <w:tcW w:type="dxa" w:w="5083"/>
          </w:tcPr>
          <w:p>
            <w:r>
              <w:t>Presider</w:t>
            </w:r>
          </w:p>
        </w:tc>
        <w:tc>
          <w:tcPr>
            <w:tcW w:type="dxa" w:w="5083"/>
          </w:tcPr>
          <w:p>
            <w:r>
              <w:t>Name / office</w:t>
            </w:r>
          </w:p>
        </w:tc>
      </w:tr>
      <w:tr>
        <w:trPr>
          <w:cantSplit w:val="true"/>
        </w:trPr>
        <w:tc>
          <w:tcPr>
            <w:tcW w:type="dxa" w:w="5083"/>
          </w:tcPr>
          <w:p>
            <w:r>
              <w:t>Physical attendance</w:t>
            </w:r>
          </w:p>
        </w:tc>
        <w:tc>
          <w:tcPr>
            <w:tcW w:type="dxa" w:w="5083"/>
          </w:tcPr>
          <w:p>
            <w:r>
              <w:t>Count</w:t>
            </w:r>
          </w:p>
        </w:tc>
      </w:tr>
      <w:tr>
        <w:trPr>
          <w:cantSplit w:val="true"/>
        </w:trPr>
        <w:tc>
          <w:tcPr>
            <w:tcW w:type="dxa" w:w="5083"/>
          </w:tcPr>
          <w:p>
            <w:r>
              <w:t>Synchronous remote attendance</w:t>
            </w:r>
          </w:p>
        </w:tc>
        <w:tc>
          <w:tcPr>
            <w:tcW w:type="dxa" w:w="5083"/>
          </w:tcPr>
          <w:p>
            <w:r>
              <w:t>Count separately</w:t>
            </w:r>
          </w:p>
        </w:tc>
      </w:tr>
      <w:tr>
        <w:trPr>
          <w:cantSplit w:val="true"/>
        </w:trPr>
        <w:tc>
          <w:tcPr>
            <w:tcW w:type="dxa" w:w="5083"/>
          </w:tcPr>
          <w:p>
            <w:r>
              <w:t>Visitors</w:t>
            </w:r>
          </w:p>
        </w:tc>
        <w:tc>
          <w:tcPr>
            <w:tcW w:type="dxa" w:w="5083"/>
          </w:tcPr>
          <w:p>
            <w:r>
              <w:t>Count separately</w:t>
            </w:r>
          </w:p>
        </w:tc>
      </w:tr>
      <w:tr>
        <w:trPr>
          <w:cantSplit w:val="true"/>
        </w:trPr>
        <w:tc>
          <w:tcPr>
            <w:tcW w:type="dxa" w:w="5083"/>
          </w:tcPr>
          <w:p>
            <w:r>
              <w:t>Readings</w:t>
            </w:r>
          </w:p>
        </w:tc>
        <w:tc>
          <w:tcPr>
            <w:tcW w:type="dxa" w:w="5083"/>
          </w:tcPr>
          <w:p>
            <w:r>
              <w:t>Titles / sources</w:t>
            </w:r>
          </w:p>
        </w:tc>
      </w:tr>
      <w:tr>
        <w:trPr>
          <w:cantSplit w:val="true"/>
        </w:trPr>
        <w:tc>
          <w:tcPr>
            <w:tcW w:type="dxa" w:w="5083"/>
          </w:tcPr>
          <w:p>
            <w:r>
              <w:t>Teaching</w:t>
            </w:r>
          </w:p>
        </w:tc>
        <w:tc>
          <w:tcPr>
            <w:tcW w:type="dxa" w:w="5083"/>
          </w:tcPr>
          <w:p>
            <w:r>
              <w:t>Title / teacher</w:t>
            </w:r>
          </w:p>
        </w:tc>
      </w:tr>
      <w:tr>
        <w:trPr>
          <w:cantSplit w:val="true"/>
        </w:trPr>
        <w:tc>
          <w:tcPr>
            <w:tcW w:type="dxa" w:w="5083"/>
          </w:tcPr>
          <w:p>
            <w:r>
              <w:t>Rites</w:t>
            </w:r>
          </w:p>
        </w:tc>
        <w:tc>
          <w:tcPr>
            <w:tcW w:type="dxa" w:w="5083"/>
          </w:tcPr>
          <w:p>
            <w:r>
              <w:t>If any</w:t>
            </w:r>
          </w:p>
        </w:tc>
      </w:tr>
      <w:tr>
        <w:trPr>
          <w:cantSplit w:val="true"/>
        </w:trPr>
        <w:tc>
          <w:tcPr>
            <w:tcW w:type="dxa" w:w="5083"/>
          </w:tcPr>
          <w:p>
            <w:r>
              <w:t>Offering</w:t>
            </w:r>
          </w:p>
        </w:tc>
        <w:tc>
          <w:tcPr>
            <w:tcW w:type="dxa" w:w="5083"/>
          </w:tcPr>
          <w:p>
            <w:r>
              <w:t>Amount or reference to financial record</w:t>
            </w:r>
          </w:p>
        </w:tc>
      </w:tr>
      <w:tr>
        <w:trPr>
          <w:cantSplit w:val="true"/>
        </w:trPr>
        <w:tc>
          <w:tcPr>
            <w:tcW w:type="dxa" w:w="5083"/>
          </w:tcPr>
          <w:p>
            <w:r>
              <w:t>Record custodian</w:t>
            </w:r>
          </w:p>
        </w:tc>
        <w:tc>
          <w:tcPr>
            <w:tcW w:type="dxa" w:w="5083"/>
          </w:tcPr>
          <w:p>
            <w:r>
              <w:t>Name / office</w:t>
            </w:r>
          </w:p>
        </w:tc>
      </w:tr>
    </w:tbl>
    <w:p>
      <w:r>
        <w:br w:type="page"/>
      </w:r>
    </w:p>
    <w:p>
      <w:pPr>
        <w:pStyle w:val="Heading1"/>
      </w:pPr>
      <w:r>
        <w:t>Adoption and Certification</w:t>
      </w:r>
    </w:p>
    <w:p>
      <w:r>
        <w:t>This instrument becomes effective only upon valid adoption by the competent authority under the governing corpus. No draft language acquires binding religious force merely because it appears in a working copy.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Corporation / Religious Body</w:t>
            </w:r>
          </w:p>
        </w:tc>
        <w:tc>
          <w:tcPr>
            <w:tcW w:type="dxa" w:w="5083"/>
          </w:tcPr>
          <w:p>
            <w:r>
              <w:t>[[CORP_NAME]]</w:t>
            </w:r>
          </w:p>
        </w:tc>
      </w:tr>
      <w:tr>
        <w:trPr>
          <w:cantSplit w:val="true"/>
        </w:trPr>
        <w:tc>
          <w:tcPr>
            <w:tcW w:type="dxa" w:w="5083"/>
          </w:tcPr>
          <w:p>
            <w:r>
              <w:t>Date of Adoption</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[[ECCLESIASTICAL_COUNCIL_APPROVAL]]</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CH-010  |  Order of Worship and Liturgical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 w:type="paragraph" w:customStyle="1" w:styleId="Principle">
    <w:name w:val="Principle"/>
    <w:pPr>
      <w:spacing w:before="120" w:after="120"/>
      <w:ind w:left="360" w:right="360"/>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