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Religious Rites and Ordinances Manual</w:t>
      </w:r>
    </w:p>
    <w:p>
      <w:pPr>
        <w:jc w:val="center"/>
      </w:pPr>
      <w:r>
        <w:rPr>
          <w:i/>
          <w:color w:val="5B6573"/>
          <w:sz w:val="24"/>
        </w:rPr>
        <w:t>Provisional rite framework for initiation, covenant, life passages, ministry, healing, and remembrance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CH-011</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Preamble</w:t>
      </w:r>
    </w:p>
    <w:p>
      <w:r>
        <w:t>Rites give embodied, communal form to religious meaning. This Manual authorizes a limited provisional set while reserving final sacramental or metaphysical interpretations for formal doctrine. No rite should be invented merely to resemble another religion or to satisfy an external checklist.</w:t>
      </w:r>
    </w:p>
    <w:p>
      <w:pPr>
        <w:pStyle w:val="Heading1"/>
      </w:pPr>
      <w:r>
        <w:t>Article I — General Rite Principles</w:t>
      </w:r>
    </w:p>
    <w:p>
      <w:pPr>
        <w:pStyle w:val="ListBullet"/>
      </w:pPr>
      <w:r>
        <w:t>Participation is voluntary and informed.</w:t>
      </w:r>
    </w:p>
    <w:p>
      <w:pPr>
        <w:pStyle w:val="ListBullet"/>
      </w:pPr>
      <w:r>
        <w:t>A rite does not erase civil-law requirements.</w:t>
      </w:r>
    </w:p>
    <w:p>
      <w:pPr>
        <w:pStyle w:val="ListBullet"/>
      </w:pPr>
      <w:r>
        <w:t>No rite confers professional, medical, legal, governmental, or financial authority unless separately recognized by law.</w:t>
      </w:r>
    </w:p>
    <w:p>
      <w:pPr>
        <w:pStyle w:val="ListBullet"/>
      </w:pPr>
      <w:r>
        <w:t>No rite guarantees supernatural outcomes.</w:t>
      </w:r>
    </w:p>
    <w:p>
      <w:pPr>
        <w:pStyle w:val="ListBullet"/>
      </w:pPr>
      <w:r>
        <w:t>Consent and safeguarding requirements apply.</w:t>
      </w:r>
    </w:p>
    <w:p>
      <w:pPr>
        <w:pStyle w:val="ListBullet"/>
      </w:pPr>
      <w:r>
        <w:t>Records shall be maintained where the rite affects membership, marriage, ministry, or other enduring status.</w:t>
      </w:r>
    </w:p>
    <w:p>
      <w:pPr>
        <w:pStyle w:val="Heading1"/>
      </w:pPr>
      <w:r>
        <w:t>Article II — Rite of Welcome / Inquiry</w:t>
      </w:r>
    </w:p>
    <w:p>
      <w:r>
        <w:t>A nonbinding rite may welcome seekers or participants into a period of study and communal participation. It creates no permanent obligation and may be ended freely by the participant.</w:t>
      </w:r>
    </w:p>
    <w:p>
      <w:pPr>
        <w:pStyle w:val="Heading1"/>
      </w:pPr>
      <w:r>
        <w:t>Article III — Covenant Membership / Initiation</w:t>
      </w:r>
    </w:p>
    <w:p>
      <w:r>
        <w:t>The membership rite publicly recognizes a person’s voluntary entry into Covenant Membership after completion of the prescribed formation and admission process.</w:t>
      </w:r>
    </w:p>
    <w:p>
      <w:pPr>
        <w:ind w:left="0" w:firstLine="0"/>
      </w:pPr>
      <w:r>
        <w:t>1.  Presentation of candidate</w:t>
      </w:r>
    </w:p>
    <w:p>
      <w:pPr>
        <w:ind w:left="0" w:firstLine="0"/>
      </w:pPr>
      <w:r>
        <w:t>2.  Statement of freedom and voluntariness</w:t>
      </w:r>
    </w:p>
    <w:p>
      <w:pPr>
        <w:ind w:left="0" w:firstLine="0"/>
      </w:pPr>
      <w:r>
        <w:t>3.  Summary of community commitments</w:t>
      </w:r>
    </w:p>
    <w:p>
      <w:pPr>
        <w:ind w:left="0" w:firstLine="0"/>
      </w:pPr>
      <w:r>
        <w:t>4.  Candidate affirmation</w:t>
      </w:r>
    </w:p>
    <w:p>
      <w:pPr>
        <w:ind w:left="0" w:firstLine="0"/>
      </w:pPr>
      <w:r>
        <w:t>5.  Community affirmation of reciprocal duties</w:t>
      </w:r>
    </w:p>
    <w:p>
      <w:pPr>
        <w:ind w:left="0" w:firstLine="0"/>
      </w:pPr>
      <w:r>
        <w:t>6.  Symbolic act adopted by the community</w:t>
      </w:r>
    </w:p>
    <w:p>
      <w:pPr>
        <w:ind w:left="0" w:firstLine="0"/>
      </w:pPr>
      <w:r>
        <w:t>7.  Entry in membership register</w:t>
      </w:r>
    </w:p>
    <w:p>
      <w:pPr>
        <w:ind w:left="0" w:firstLine="0"/>
      </w:pPr>
      <w:r>
        <w:t>8.  Welcome and blessing</w:t>
      </w:r>
    </w:p>
    <w:p>
      <w:r>
        <w:t>No candidate shall be required to sever family or outside relationships, transfer property, surrender legal rights, disclose unnecessary private information, or make irrevocable promises of obedience to an individual leader.</w:t>
      </w:r>
    </w:p>
    <w:p>
      <w:pPr>
        <w:pStyle w:val="Heading1"/>
      </w:pPr>
      <w:r>
        <w:t>Article IV — Naming / Birth / Child Blessing</w:t>
      </w:r>
    </w:p>
    <w:p>
      <w:r>
        <w:t>Where families request it, the community may celebrate birth, naming, adoption, or the reception of a child into communal care. Such a rite does not predetermine the child’s future religious membership and shall not be used to claim ownership of the child’s conscience.</w:t>
      </w:r>
    </w:p>
    <w:p>
      <w:pPr>
        <w:pStyle w:val="Heading1"/>
      </w:pPr>
      <w:r>
        <w:t>Article V — Coming-of-Age / Maturity Rite</w:t>
      </w:r>
    </w:p>
    <w:p>
      <w:r>
        <w:t>A coming-of-age rite may recognize growing moral and religious agency, education, service, and responsibility. Participation does not eliminate the minor’s safeguarding protections or civil rights.</w:t>
      </w:r>
    </w:p>
    <w:p>
      <w:pPr>
        <w:pStyle w:val="Heading1"/>
      </w:pPr>
      <w:r>
        <w:t>Article VI — Marriage / Covenant Union</w:t>
      </w:r>
    </w:p>
    <w:p>
      <w:r>
        <w:t>Authorized ministers may solemnize marriages only where legally permitted and where the minister satisfies applicable civil requirements. The religious rite should distinguish the community’s blessing from the civil legal act when necessary.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Element</w:t>
            </w:r>
          </w:p>
        </w:tc>
        <w:tc>
          <w:tcPr>
            <w:tcW w:type="dxa" w:w="5083"/>
            <w:shd w:fill="1F4E79"/>
            <w:vAlign w:val="center"/>
          </w:tcPr>
          <w:p>
            <w:r>
              <w:rPr>
                <w:b/>
                <w:color w:val="FFFFFF"/>
              </w:rPr>
              <w:t>Requirement</w:t>
            </w:r>
          </w:p>
        </w:tc>
      </w:tr>
      <w:tr>
        <w:trPr>
          <w:cantSplit w:val="true"/>
        </w:trPr>
        <w:tc>
          <w:tcPr>
            <w:tcW w:type="dxa" w:w="5083"/>
          </w:tcPr>
          <w:p>
            <w:r>
              <w:t>Consent</w:t>
            </w:r>
          </w:p>
        </w:tc>
        <w:tc>
          <w:tcPr>
            <w:tcW w:type="dxa" w:w="5083"/>
          </w:tcPr>
          <w:p>
            <w:r>
              <w:t>Free, contemporaneous consent of the parties</w:t>
            </w:r>
          </w:p>
        </w:tc>
      </w:tr>
      <w:tr>
        <w:trPr>
          <w:cantSplit w:val="true"/>
        </w:trPr>
        <w:tc>
          <w:tcPr>
            <w:tcW w:type="dxa" w:w="5083"/>
          </w:tcPr>
          <w:p>
            <w:r>
              <w:t>Eligibility</w:t>
            </w:r>
          </w:p>
        </w:tc>
        <w:tc>
          <w:tcPr>
            <w:tcW w:type="dxa" w:w="5083"/>
          </w:tcPr>
          <w:p>
            <w:r>
              <w:t>Religious and civil eligibility confirmed</w:t>
            </w:r>
          </w:p>
        </w:tc>
      </w:tr>
      <w:tr>
        <w:trPr>
          <w:cantSplit w:val="true"/>
        </w:trPr>
        <w:tc>
          <w:tcPr>
            <w:tcW w:type="dxa" w:w="5083"/>
          </w:tcPr>
          <w:p>
            <w:r>
              <w:t>Witnesses</w:t>
            </w:r>
          </w:p>
        </w:tc>
        <w:tc>
          <w:tcPr>
            <w:tcW w:type="dxa" w:w="5083"/>
          </w:tcPr>
          <w:p>
            <w:r>
              <w:t>As required by law / community practice</w:t>
            </w:r>
          </w:p>
        </w:tc>
      </w:tr>
      <w:tr>
        <w:trPr>
          <w:cantSplit w:val="true"/>
        </w:trPr>
        <w:tc>
          <w:tcPr>
            <w:tcW w:type="dxa" w:w="5083"/>
          </w:tcPr>
          <w:p>
            <w:r>
              <w:t>Vows</w:t>
            </w:r>
          </w:p>
        </w:tc>
        <w:tc>
          <w:tcPr>
            <w:tcW w:type="dxa" w:w="5083"/>
          </w:tcPr>
          <w:p>
            <w:r>
              <w:t>Mutual; no ownership language</w:t>
            </w:r>
          </w:p>
        </w:tc>
      </w:tr>
      <w:tr>
        <w:trPr>
          <w:cantSplit w:val="true"/>
        </w:trPr>
        <w:tc>
          <w:tcPr>
            <w:tcW w:type="dxa" w:w="5083"/>
          </w:tcPr>
          <w:p>
            <w:r>
              <w:t>Record</w:t>
            </w:r>
          </w:p>
        </w:tc>
        <w:tc>
          <w:tcPr>
            <w:tcW w:type="dxa" w:w="5083"/>
          </w:tcPr>
          <w:p>
            <w:r>
              <w:t>Rite record + civil documentation where applicable</w:t>
            </w:r>
          </w:p>
        </w:tc>
      </w:tr>
      <w:tr>
        <w:trPr>
          <w:cantSplit w:val="true"/>
        </w:trPr>
        <w:tc>
          <w:tcPr>
            <w:tcW w:type="dxa" w:w="5083"/>
          </w:tcPr>
          <w:p>
            <w:r>
              <w:t>Safety</w:t>
            </w:r>
          </w:p>
        </w:tc>
        <w:tc>
          <w:tcPr>
            <w:tcW w:type="dxa" w:w="5083"/>
          </w:tcPr>
          <w:p>
            <w:r>
              <w:t>No coercion; concerns about forced marriage require intervention</w:t>
            </w:r>
          </w:p>
        </w:tc>
      </w:tr>
    </w:tbl>
    <w:p>
      <w:pPr>
        <w:pStyle w:val="Heading1"/>
      </w:pPr>
      <w:r>
        <w:t>Article VII — Funeral / Memorial / Commemoration</w:t>
      </w:r>
    </w:p>
    <w:p>
      <w:r>
        <w:t>The community may conduct funerals, memorials, vigils, remembrance services, and burial or cremation-related rites. Ministers shall avoid stating disputed afterlife claims as certain unless those claims are adopted doctrine and appropriate to the family’s wishes.</w:t>
      </w:r>
    </w:p>
    <w:p>
      <w:pPr>
        <w:pStyle w:val="Heading1"/>
      </w:pPr>
      <w:r>
        <w:t>Article VIII — Reconciliation</w:t>
      </w:r>
    </w:p>
    <w:p>
      <w:r>
        <w:t>A voluntary rite of confession, reconciliation, or restoration may support spiritual healing. It shall never substitute for reporting abuse, restitution, discipline, legal obligations, or the right of a harmed person to decline reconciliation.</w:t>
      </w:r>
    </w:p>
    <w:p>
      <w:pPr>
        <w:pStyle w:val="Heading1"/>
      </w:pPr>
      <w:r>
        <w:t>Article IX — Healing and Care</w:t>
      </w:r>
    </w:p>
    <w:p>
      <w:r>
        <w:t>Prayer, anointing, laying on of hands, meditation, blessing, or comparable care practices may be offered with consent. Ministers must not misrepresent such rites as medical treatment, discourage appropriate professional care, or guarantee healing.</w:t>
      </w:r>
    </w:p>
    <w:p>
      <w:pPr>
        <w:pStyle w:val="Heading1"/>
      </w:pPr>
      <w:r>
        <w:t>Article X — Ordination / Commissioning</w:t>
      </w:r>
    </w:p>
    <w:p>
      <w:r>
        <w:t>Ordination or commissioning recognizes religious authority already established through training, examination, discernment, and valid approval. The ceremony does not manufacture qualification that has not been earned.</w:t>
      </w:r>
    </w:p>
    <w:p>
      <w:pPr>
        <w:ind w:left="0" w:firstLine="0"/>
      </w:pPr>
      <w:r>
        <w:t>1.  Presentation of candidate and record of qualification</w:t>
      </w:r>
    </w:p>
    <w:p>
      <w:pPr>
        <w:ind w:left="0" w:firstLine="0"/>
      </w:pPr>
      <w:r>
        <w:t>2.  Public statement of office and scope of authority</w:t>
      </w:r>
    </w:p>
    <w:p>
      <w:pPr>
        <w:ind w:left="0" w:firstLine="0"/>
      </w:pPr>
      <w:r>
        <w:t>3.  Candidate commitments to service, truthfulness, safeguarding, accountability, and boundaries</w:t>
      </w:r>
    </w:p>
    <w:p>
      <w:pPr>
        <w:ind w:left="0" w:firstLine="0"/>
      </w:pPr>
      <w:r>
        <w:t>4.  Questions or affirmation by the competent body</w:t>
      </w:r>
    </w:p>
    <w:p>
      <w:pPr>
        <w:ind w:left="0" w:firstLine="0"/>
      </w:pPr>
      <w:r>
        <w:t>5.  Prayer / laying on of hands / symbolic commissioning as adopted</w:t>
      </w:r>
    </w:p>
    <w:p>
      <w:pPr>
        <w:ind w:left="0" w:firstLine="0"/>
      </w:pPr>
      <w:r>
        <w:t>6.  Issuance of credential</w:t>
      </w:r>
    </w:p>
    <w:p>
      <w:pPr>
        <w:ind w:left="0" w:firstLine="0"/>
      </w:pPr>
      <w:r>
        <w:t>7.  Entry in credential register</w:t>
      </w:r>
    </w:p>
    <w:p>
      <w:pPr>
        <w:pStyle w:val="Heading1"/>
      </w:pPr>
      <w:r>
        <w:t>Article XI — Seasonal and Annual Observances</w:t>
      </w:r>
    </w:p>
    <w:p>
      <w:r>
        <w:t>The community may establish recurring commemorations tied to its religious calendar, history, cosmology, ethical commitments, or significant events. New observances should have an articulated religious purpose and documented origin.</w:t>
      </w:r>
    </w:p>
    <w:p>
      <w:pPr>
        <w:pStyle w:val="Heading1"/>
      </w:pPr>
      <w:r>
        <w:t>Article XII — Pilgrimage and Sacred Place</w:t>
      </w:r>
    </w:p>
    <w:p>
      <w:r>
        <w:t>Pilgrimage may be practiced as voluntary religious travel or visitation. No place shall be marketed as guaranteeing miracles, salvation, healing, or spiritual status. Safety, cost transparency, and accessibility shall be considered.</w:t>
      </w:r>
    </w:p>
    <w:p>
      <w:pPr>
        <w:pStyle w:val="Heading1"/>
      </w:pPr>
      <w:r>
        <w:t>Article XIII — Rite Authorization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Rite</w:t>
            </w:r>
          </w:p>
        </w:tc>
        <w:tc>
          <w:tcPr>
            <w:tcW w:type="dxa" w:w="3389"/>
            <w:shd w:fill="1F4E79"/>
            <w:vAlign w:val="center"/>
          </w:tcPr>
          <w:p>
            <w:r>
              <w:rPr>
                <w:b/>
                <w:color w:val="FFFFFF"/>
              </w:rPr>
              <w:t>Who May Preside</w:t>
            </w:r>
          </w:p>
        </w:tc>
        <w:tc>
          <w:tcPr>
            <w:tcW w:type="dxa" w:w="3389"/>
            <w:shd w:fill="1F4E79"/>
            <w:vAlign w:val="center"/>
          </w:tcPr>
          <w:p>
            <w:r>
              <w:rPr>
                <w:b/>
                <w:color w:val="FFFFFF"/>
              </w:rPr>
              <w:t>Permanent Record?</w:t>
            </w:r>
          </w:p>
        </w:tc>
      </w:tr>
      <w:tr>
        <w:trPr>
          <w:cantSplit w:val="true"/>
        </w:trPr>
        <w:tc>
          <w:tcPr>
            <w:tcW w:type="dxa" w:w="3389"/>
          </w:tcPr>
          <w:p>
            <w:r>
              <w:t>Welcome / inquiry</w:t>
            </w:r>
          </w:p>
        </w:tc>
        <w:tc>
          <w:tcPr>
            <w:tcW w:type="dxa" w:w="3389"/>
          </w:tcPr>
          <w:p>
            <w:r>
              <w:t>Authorized facilitator or minister</w:t>
            </w:r>
          </w:p>
        </w:tc>
        <w:tc>
          <w:tcPr>
            <w:tcW w:type="dxa" w:w="3389"/>
          </w:tcPr>
          <w:p>
            <w:r>
              <w:t>Optional</w:t>
            </w:r>
          </w:p>
        </w:tc>
      </w:tr>
      <w:tr>
        <w:trPr>
          <w:cantSplit w:val="true"/>
        </w:trPr>
        <w:tc>
          <w:tcPr>
            <w:tcW w:type="dxa" w:w="3389"/>
          </w:tcPr>
          <w:p>
            <w:r>
              <w:t>Membership / initiation</w:t>
            </w:r>
          </w:p>
        </w:tc>
        <w:tc>
          <w:tcPr>
            <w:tcW w:type="dxa" w:w="3389"/>
          </w:tcPr>
          <w:p>
            <w:r>
              <w:t>Authorized minister / designated ecclesiastical officer</w:t>
            </w:r>
          </w:p>
        </w:tc>
        <w:tc>
          <w:tcPr>
            <w:tcW w:type="dxa" w:w="3389"/>
          </w:tcPr>
          <w:p>
            <w:r>
              <w:t>Yes</w:t>
            </w:r>
          </w:p>
        </w:tc>
      </w:tr>
      <w:tr>
        <w:trPr>
          <w:cantSplit w:val="true"/>
        </w:trPr>
        <w:tc>
          <w:tcPr>
            <w:tcW w:type="dxa" w:w="3389"/>
          </w:tcPr>
          <w:p>
            <w:r>
              <w:t>Child / family blessing</w:t>
            </w:r>
          </w:p>
        </w:tc>
        <w:tc>
          <w:tcPr>
            <w:tcW w:type="dxa" w:w="3389"/>
          </w:tcPr>
          <w:p>
            <w:r>
              <w:t>Authorized minister</w:t>
            </w:r>
          </w:p>
        </w:tc>
        <w:tc>
          <w:tcPr>
            <w:tcW w:type="dxa" w:w="3389"/>
          </w:tcPr>
          <w:p>
            <w:r>
              <w:t>Recommended</w:t>
            </w:r>
          </w:p>
        </w:tc>
      </w:tr>
      <w:tr>
        <w:trPr>
          <w:cantSplit w:val="true"/>
        </w:trPr>
        <w:tc>
          <w:tcPr>
            <w:tcW w:type="dxa" w:w="3389"/>
          </w:tcPr>
          <w:p>
            <w:r>
              <w:t>Coming of age</w:t>
            </w:r>
          </w:p>
        </w:tc>
        <w:tc>
          <w:tcPr>
            <w:tcW w:type="dxa" w:w="3389"/>
          </w:tcPr>
          <w:p>
            <w:r>
              <w:t>Authorized minister / educator</w:t>
            </w:r>
          </w:p>
        </w:tc>
        <w:tc>
          <w:tcPr>
            <w:tcW w:type="dxa" w:w="3389"/>
          </w:tcPr>
          <w:p>
            <w:r>
              <w:t>Yes if status conferred</w:t>
            </w:r>
          </w:p>
        </w:tc>
      </w:tr>
      <w:tr>
        <w:trPr>
          <w:cantSplit w:val="true"/>
        </w:trPr>
        <w:tc>
          <w:tcPr>
            <w:tcW w:type="dxa" w:w="3389"/>
          </w:tcPr>
          <w:p>
            <w:r>
              <w:t>Marriage</w:t>
            </w:r>
          </w:p>
        </w:tc>
        <w:tc>
          <w:tcPr>
            <w:tcW w:type="dxa" w:w="3389"/>
          </w:tcPr>
          <w:p>
            <w:r>
              <w:t>Legally and ecclesiastically authorized officiant</w:t>
            </w:r>
          </w:p>
        </w:tc>
        <w:tc>
          <w:tcPr>
            <w:tcW w:type="dxa" w:w="3389"/>
          </w:tcPr>
          <w:p>
            <w:r>
              <w:t>Yes</w:t>
            </w:r>
          </w:p>
        </w:tc>
      </w:tr>
      <w:tr>
        <w:trPr>
          <w:cantSplit w:val="true"/>
        </w:trPr>
        <w:tc>
          <w:tcPr>
            <w:tcW w:type="dxa" w:w="3389"/>
          </w:tcPr>
          <w:p>
            <w:r>
              <w:t>Funeral / memorial</w:t>
            </w:r>
          </w:p>
        </w:tc>
        <w:tc>
          <w:tcPr>
            <w:tcW w:type="dxa" w:w="3389"/>
          </w:tcPr>
          <w:p>
            <w:r>
              <w:t>Authorized minister</w:t>
            </w:r>
          </w:p>
        </w:tc>
        <w:tc>
          <w:tcPr>
            <w:tcW w:type="dxa" w:w="3389"/>
          </w:tcPr>
          <w:p>
            <w:r>
              <w:t>Recommended</w:t>
            </w:r>
          </w:p>
        </w:tc>
      </w:tr>
      <w:tr>
        <w:trPr>
          <w:cantSplit w:val="true"/>
        </w:trPr>
        <w:tc>
          <w:tcPr>
            <w:tcW w:type="dxa" w:w="3389"/>
          </w:tcPr>
          <w:p>
            <w:r>
              <w:t>Reconciliation</w:t>
            </w:r>
          </w:p>
        </w:tc>
        <w:tc>
          <w:tcPr>
            <w:tcW w:type="dxa" w:w="3389"/>
          </w:tcPr>
          <w:p>
            <w:r>
              <w:t>Authorized minister as policy permits</w:t>
            </w:r>
          </w:p>
        </w:tc>
        <w:tc>
          <w:tcPr>
            <w:tcW w:type="dxa" w:w="3389"/>
          </w:tcPr>
          <w:p>
            <w:r>
              <w:t>Confidential record limited</w:t>
            </w:r>
          </w:p>
        </w:tc>
      </w:tr>
      <w:tr>
        <w:trPr>
          <w:cantSplit w:val="true"/>
        </w:trPr>
        <w:tc>
          <w:tcPr>
            <w:tcW w:type="dxa" w:w="3389"/>
          </w:tcPr>
          <w:p>
            <w:r>
              <w:t>Healing / care</w:t>
            </w:r>
          </w:p>
        </w:tc>
        <w:tc>
          <w:tcPr>
            <w:tcW w:type="dxa" w:w="3389"/>
          </w:tcPr>
          <w:p>
            <w:r>
              <w:t>Authorized minister / trained caregiver</w:t>
            </w:r>
          </w:p>
        </w:tc>
        <w:tc>
          <w:tcPr>
            <w:tcW w:type="dxa" w:w="3389"/>
          </w:tcPr>
          <w:p>
            <w:r>
              <w:t>Only as appropriate</w:t>
            </w:r>
          </w:p>
        </w:tc>
      </w:tr>
      <w:tr>
        <w:trPr>
          <w:cantSplit w:val="true"/>
        </w:trPr>
        <w:tc>
          <w:tcPr>
            <w:tcW w:type="dxa" w:w="3389"/>
          </w:tcPr>
          <w:p>
            <w:r>
              <w:t>Ordination / commissioning</w:t>
            </w:r>
          </w:p>
        </w:tc>
        <w:tc>
          <w:tcPr>
            <w:tcW w:type="dxa" w:w="3389"/>
          </w:tcPr>
          <w:p>
            <w:r>
              <w:t>Competent credentialing authority</w:t>
            </w:r>
          </w:p>
        </w:tc>
        <w:tc>
          <w:tcPr>
            <w:tcW w:type="dxa" w:w="3389"/>
          </w:tcPr>
          <w:p>
            <w:r>
              <w:t>Yes</w:t>
            </w:r>
          </w:p>
        </w:tc>
      </w:tr>
      <w:tr>
        <w:trPr>
          <w:cantSplit w:val="true"/>
        </w:trPr>
        <w:tc>
          <w:tcPr>
            <w:tcW w:type="dxa" w:w="3389"/>
          </w:tcPr>
          <w:p>
            <w:r>
              <w:t>Seasonal observance</w:t>
            </w:r>
          </w:p>
        </w:tc>
        <w:tc>
          <w:tcPr>
            <w:tcW w:type="dxa" w:w="3389"/>
          </w:tcPr>
          <w:p>
            <w:r>
              <w:t>Authorized worship leader</w:t>
            </w:r>
          </w:p>
        </w:tc>
        <w:tc>
          <w:tcPr>
            <w:tcW w:type="dxa" w:w="3389"/>
          </w:tcPr>
          <w:p>
            <w:r>
              <w:t>Service record</w:t>
            </w:r>
          </w:p>
        </w:tc>
      </w:tr>
    </w:tbl>
    <w:p>
      <w:pPr>
        <w:pStyle w:val="Heading1"/>
      </w:pPr>
      <w:r>
        <w:t>Article XIV — Rite Record</w:t>
      </w:r>
    </w:p>
    <w:p>
      <w:r>
        <w:t>Rite records use identifier RR-YYYY-NNN and include date, location, rite type, presider, persons directly affected, witnesses where relevant, authorizing basis, civil document reference when applicable, and restrictions on access.</w:t>
      </w:r>
    </w:p>
    <w:p>
      <w:pPr>
        <w:pStyle w:val="Heading1"/>
      </w:pPr>
      <w:r>
        <w:t>Article XV — Prohibited Rite Practices</w:t>
      </w:r>
    </w:p>
    <w:p>
      <w:pPr>
        <w:pStyle w:val="ListBullet"/>
      </w:pPr>
      <w:r>
        <w:t>Nonconsensual sexualized ritual</w:t>
      </w:r>
    </w:p>
    <w:p>
      <w:pPr>
        <w:pStyle w:val="ListBullet"/>
      </w:pPr>
      <w:r>
        <w:t>Humiliation presented as spiritual necessity</w:t>
      </w:r>
    </w:p>
    <w:p>
      <w:pPr>
        <w:pStyle w:val="ListBullet"/>
      </w:pPr>
      <w:r>
        <w:t>Dangerous deprivation or physical ordeal without appropriate safeguards</w:t>
      </w:r>
    </w:p>
    <w:p>
      <w:pPr>
        <w:pStyle w:val="ListBullet"/>
      </w:pPr>
      <w:r>
        <w:t>Forced isolation or confinement</w:t>
      </w:r>
    </w:p>
    <w:p>
      <w:pPr>
        <w:pStyle w:val="ListBullet"/>
      </w:pPr>
      <w:r>
        <w:t>Financial payment as a condition of divine favor</w:t>
      </w:r>
    </w:p>
    <w:p>
      <w:pPr>
        <w:pStyle w:val="ListBullet"/>
      </w:pPr>
      <w:r>
        <w:t>Secret rites requiring unlawful conduct</w:t>
      </w:r>
    </w:p>
    <w:p>
      <w:pPr>
        <w:pStyle w:val="ListBullet"/>
      </w:pPr>
      <w:r>
        <w:t>Rites that pressure participants to surrender property or legal rights</w:t>
      </w:r>
    </w:p>
    <w:p>
      <w:pPr>
        <w:pStyle w:val="ListBullet"/>
      </w:pPr>
      <w:r>
        <w:t>Use of minors in practices inappropriate to age or consent capacity</w:t>
      </w:r>
    </w:p>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CH-011  |  Religious Rites and Ordinances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