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Attendance Register Standard</w:t>
      </w:r>
    </w:p>
    <w:p>
      <w:pPr>
        <w:jc w:val="center"/>
      </w:pPr>
      <w:r>
        <w:rPr>
          <w:i/>
          <w:color w:val="5B6573"/>
          <w:sz w:val="23"/>
        </w:rPr>
        <w:t>Service attendance, participation categories, and evidence integrity</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CH-016</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Congregational Records Standard</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Standard establishes consistent attendance records for regularly scheduled religious services. The purpose is to document actual congregational life, support pastoral administration, and permit accurate calculation of member and nonmember attendance if later requested by the IRS.</w:t>
      </w:r>
    </w:p>
    <w:p>
      <w:pPr>
        <w:pStyle w:val="Principle"/>
      </w:pPr>
      <w:r>
        <w:t>Attendance evidence must distinguish people who actually participate in a service from media views, mailing-list subscribers, website traffic, or inflated reach metrics.</w:t>
      </w:r>
    </w:p>
    <w:p>
      <w:pPr>
        <w:pStyle w:val="Heading1"/>
      </w:pPr>
      <w:r>
        <w:t>1. Service-Level Record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Example / Rule</w:t>
            </w:r>
          </w:p>
        </w:tc>
      </w:tr>
      <w:tr>
        <w:trPr>
          <w:cantSplit w:val="true"/>
        </w:trPr>
        <w:tc>
          <w:tcPr>
            <w:tcW w:type="dxa" w:w="5083"/>
          </w:tcPr>
          <w:p>
            <w:r>
              <w:t>Service ID</w:t>
            </w:r>
          </w:p>
        </w:tc>
        <w:tc>
          <w:tcPr>
            <w:tcW w:type="dxa" w:w="5083"/>
          </w:tcPr>
          <w:p>
            <w:r>
              <w:t>SR-YYYY-MM-DD-NNN</w:t>
            </w:r>
          </w:p>
        </w:tc>
      </w:tr>
      <w:tr>
        <w:trPr>
          <w:cantSplit w:val="true"/>
        </w:trPr>
        <w:tc>
          <w:tcPr>
            <w:tcW w:type="dxa" w:w="5083"/>
          </w:tcPr>
          <w:p>
            <w:r>
              <w:t>Date</w:t>
            </w:r>
          </w:p>
        </w:tc>
        <w:tc>
          <w:tcPr>
            <w:tcW w:type="dxa" w:w="5083"/>
          </w:tcPr>
          <w:p>
            <w:r>
              <w:t>Actual service date</w:t>
            </w:r>
          </w:p>
        </w:tc>
      </w:tr>
      <w:tr>
        <w:trPr>
          <w:cantSplit w:val="true"/>
        </w:trPr>
        <w:tc>
          <w:tcPr>
            <w:tcW w:type="dxa" w:w="5083"/>
          </w:tcPr>
          <w:p>
            <w:r>
              <w:t>Scheduled start/end</w:t>
            </w:r>
          </w:p>
        </w:tc>
        <w:tc>
          <w:tcPr>
            <w:tcW w:type="dxa" w:w="5083"/>
          </w:tcPr>
          <w:p>
            <w:r>
              <w:t>Actual times</w:t>
            </w:r>
          </w:p>
        </w:tc>
      </w:tr>
      <w:tr>
        <w:trPr>
          <w:cantSplit w:val="true"/>
        </w:trPr>
        <w:tc>
          <w:tcPr>
            <w:tcW w:type="dxa" w:w="5083"/>
          </w:tcPr>
          <w:p>
            <w:r>
              <w:t>Location ID</w:t>
            </w:r>
          </w:p>
        </w:tc>
        <w:tc>
          <w:tcPr>
            <w:tcW w:type="dxa" w:w="5083"/>
          </w:tcPr>
          <w:p>
            <w:r>
              <w:t>Link to CH-023 site</w:t>
            </w:r>
          </w:p>
        </w:tc>
      </w:tr>
      <w:tr>
        <w:trPr>
          <w:cantSplit w:val="true"/>
        </w:trPr>
        <w:tc>
          <w:tcPr>
            <w:tcW w:type="dxa" w:w="5083"/>
          </w:tcPr>
          <w:p>
            <w:r>
              <w:t>Service type</w:t>
            </w:r>
          </w:p>
        </w:tc>
        <w:tc>
          <w:tcPr>
            <w:tcW w:type="dxa" w:w="5083"/>
          </w:tcPr>
          <w:p>
            <w:r>
              <w:t>Regular weekly / special observance / rite / study as applicable</w:t>
            </w:r>
          </w:p>
        </w:tc>
      </w:tr>
      <w:tr>
        <w:trPr>
          <w:cantSplit w:val="true"/>
        </w:trPr>
        <w:tc>
          <w:tcPr>
            <w:tcW w:type="dxa" w:w="5083"/>
          </w:tcPr>
          <w:p>
            <w:r>
              <w:t>Physical member attendance</w:t>
            </w:r>
          </w:p>
        </w:tc>
        <w:tc>
          <w:tcPr>
            <w:tcW w:type="dxa" w:w="5083"/>
          </w:tcPr>
          <w:p>
            <w:r>
              <w:t>Headcount</w:t>
            </w:r>
          </w:p>
        </w:tc>
      </w:tr>
      <w:tr>
        <w:trPr>
          <w:cantSplit w:val="true"/>
        </w:trPr>
        <w:tc>
          <w:tcPr>
            <w:tcW w:type="dxa" w:w="5083"/>
          </w:tcPr>
          <w:p>
            <w:r>
              <w:t>Physical nonmember attendance</w:t>
            </w:r>
          </w:p>
        </w:tc>
        <w:tc>
          <w:tcPr>
            <w:tcW w:type="dxa" w:w="5083"/>
          </w:tcPr>
          <w:p>
            <w:r>
              <w:t>Headcount</w:t>
            </w:r>
          </w:p>
        </w:tc>
      </w:tr>
      <w:tr>
        <w:trPr>
          <w:cantSplit w:val="true"/>
        </w:trPr>
        <w:tc>
          <w:tcPr>
            <w:tcW w:type="dxa" w:w="5083"/>
          </w:tcPr>
          <w:p>
            <w:r>
              <w:t>Live remote member attendance</w:t>
            </w:r>
          </w:p>
        </w:tc>
        <w:tc>
          <w:tcPr>
            <w:tcW w:type="dxa" w:w="5083"/>
          </w:tcPr>
          <w:p>
            <w:r>
              <w:t>Separate headcount if reliably known</w:t>
            </w:r>
          </w:p>
        </w:tc>
      </w:tr>
      <w:tr>
        <w:trPr>
          <w:cantSplit w:val="true"/>
        </w:trPr>
        <w:tc>
          <w:tcPr>
            <w:tcW w:type="dxa" w:w="5083"/>
          </w:tcPr>
          <w:p>
            <w:r>
              <w:t>Live remote nonmember attendance</w:t>
            </w:r>
          </w:p>
        </w:tc>
        <w:tc>
          <w:tcPr>
            <w:tcW w:type="dxa" w:w="5083"/>
          </w:tcPr>
          <w:p>
            <w:r>
              <w:t>Separate headcount if reliably known</w:t>
            </w:r>
          </w:p>
        </w:tc>
      </w:tr>
      <w:tr>
        <w:trPr>
          <w:cantSplit w:val="true"/>
        </w:trPr>
        <w:tc>
          <w:tcPr>
            <w:tcW w:type="dxa" w:w="5083"/>
          </w:tcPr>
          <w:p>
            <w:r>
              <w:t>Recorded-media views</w:t>
            </w:r>
          </w:p>
        </w:tc>
        <w:tc>
          <w:tcPr>
            <w:tcW w:type="dxa" w:w="5083"/>
          </w:tcPr>
          <w:p>
            <w:r>
              <w:t>Never included in congregational attendance</w:t>
            </w:r>
          </w:p>
        </w:tc>
      </w:tr>
      <w:tr>
        <w:trPr>
          <w:cantSplit w:val="true"/>
        </w:trPr>
        <w:tc>
          <w:tcPr>
            <w:tcW w:type="dxa" w:w="5083"/>
          </w:tcPr>
          <w:p>
            <w:r>
              <w:t>Presiding minister / leader</w:t>
            </w:r>
          </w:p>
        </w:tc>
        <w:tc>
          <w:tcPr>
            <w:tcW w:type="dxa" w:w="5083"/>
          </w:tcPr>
          <w:p>
            <w:r>
              <w:t>Name or ID</w:t>
            </w:r>
          </w:p>
        </w:tc>
      </w:tr>
      <w:tr>
        <w:trPr>
          <w:cantSplit w:val="true"/>
        </w:trPr>
        <w:tc>
          <w:tcPr>
            <w:tcW w:type="dxa" w:w="5083"/>
          </w:tcPr>
          <w:p>
            <w:r>
              <w:t>Bulletin / teaching IDs</w:t>
            </w:r>
          </w:p>
        </w:tc>
        <w:tc>
          <w:tcPr>
            <w:tcW w:type="dxa" w:w="5083"/>
          </w:tcPr>
          <w:p>
            <w:r>
              <w:t>Cross-reference CH-019 / CH-020</w:t>
            </w:r>
          </w:p>
        </w:tc>
      </w:tr>
    </w:tbl>
    <w:p>
      <w:pPr>
        <w:pStyle w:val="Heading1"/>
      </w:pPr>
      <w:r>
        <w:t>2. Person-Level Detail</w:t>
      </w:r>
    </w:p>
    <w:p>
      <w:r>
        <w:t>Where administratively appropriate, the organization may keep person-level attendance for members and known participants. Visitors may be recorded by name only when voluntarily provided and appropriate. A service may also rely on verified headcounts rather than requiring every visitor to identify themselves.</w:t>
      </w:r>
    </w:p>
    <w:p>
      <w:pPr>
        <w:pStyle w:val="Heading1"/>
      </w:pPr>
      <w:r>
        <w:t>3. Physical and Remote Participation</w:t>
      </w:r>
    </w:p>
    <w:p>
      <w:pPr>
        <w:pStyle w:val="ListBullet"/>
      </w:pPr>
      <w:r>
        <w:t>Physical attendance is counted at the established worship location.</w:t>
      </w:r>
    </w:p>
    <w:p>
      <w:pPr>
        <w:pStyle w:val="ListBullet"/>
      </w:pPr>
      <w:r>
        <w:t>Synchronous remote participation is recorded separately.</w:t>
      </w:r>
    </w:p>
    <w:p>
      <w:pPr>
        <w:pStyle w:val="ListBullet"/>
      </w:pPr>
      <w:r>
        <w:t>A person attending both in person and online for the same service is counted once in the appropriate primary attendance category.</w:t>
      </w:r>
    </w:p>
    <w:p>
      <w:pPr>
        <w:pStyle w:val="ListBullet"/>
      </w:pPr>
      <w:r>
        <w:t>Later recording views are media reach, not service attendance.</w:t>
      </w:r>
    </w:p>
    <w:p>
      <w:pPr>
        <w:pStyle w:val="ListBullet"/>
      </w:pPr>
      <w:r>
        <w:t>Technical connection alone should not automatically be treated as meaningful participation where no person can be identified or reasonably counted.</w:t>
      </w:r>
    </w:p>
    <w:p>
      <w:pPr>
        <w:pStyle w:val="Heading1"/>
      </w:pPr>
      <w:r>
        <w:t>4. Household and Family Concentration</w:t>
      </w:r>
    </w:p>
    <w:p>
      <w:r>
        <w:t>The register may maintain Household IDs so the organization can demonstrate that the congregation is not merely one family while avoiding unnecessary public disclosure of family relationships. Household analysis is administrative evidence, not a religious ranking.</w:t>
      </w:r>
    </w:p>
    <w:p>
      <w:pPr>
        <w:pStyle w:val="Heading1"/>
      </w:pPr>
      <w:r>
        <w:t>5. Average Attendance Method</w:t>
      </w:r>
    </w:p>
    <w:p>
      <w:r>
        <w:t>For an application period, calculate average attendance from the regularly scheduled services actually conducted in the defined period. Preserve the service list used, the inclusion/exclusion rule, and separate member/nonmember figures. Do not select only unusually large services to increase the reported average.</w:t>
      </w:r>
    </w:p>
    <w:p>
      <w:pPr>
        <w:pStyle w:val="Heading1"/>
      </w:pPr>
      <w:r>
        <w:t>6. Corrections and Audit Trail</w:t>
      </w:r>
    </w:p>
    <w:p>
      <w:pPr>
        <w:pStyle w:val="ListBullet"/>
      </w:pPr>
      <w:r>
        <w:t>Correct obvious counting or data-entry errors with an explanatory note when material.</w:t>
      </w:r>
    </w:p>
    <w:p>
      <w:pPr>
        <w:pStyle w:val="ListBullet"/>
      </w:pPr>
      <w:r>
        <w:t>Do not create retrospective named attendance where only a headcount was actually taken.</w:t>
      </w:r>
    </w:p>
    <w:p>
      <w:pPr>
        <w:pStyle w:val="ListBullet"/>
      </w:pPr>
      <w:r>
        <w:t>Canceled services should remain visible on the schedule with a cancellation reason rather than disappearing from history.</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CH-016 | Attendance Register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