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Ministerial Course of Study</w:t>
      </w:r>
    </w:p>
    <w:p>
      <w:pPr>
        <w:jc w:val="center"/>
      </w:pPr>
      <w:r>
        <w:rPr>
          <w:i/>
          <w:color w:val="475569"/>
          <w:sz w:val="24"/>
        </w:rPr>
        <w:t>Prescribed curriculum for ministerial formation and ordination</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CH-026</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Program Design</w:t>
      </w:r>
    </w:p>
    <w:p>
      <w:pPr>
        <w:keepLines/>
      </w:pPr>
      <w:r>
        <w:t>The prescribed course of study is a substantive internal curriculum rather than a nominal ordination prerequisite. It may be completed through internal instruction, approved external courses, directed study, seminars, supervised practice, and assessed research. Equivalency credit requires documented mastery; experience alone does not automatically waive core competencies.</w:t>
      </w:r>
    </w:p>
    <w:p>
      <w:pPr>
        <w:keepLines/>
      </w:pPr>
      <w:r>
        <w:t>Internal planning target for ordination: approximately 720 documented formation hours, normally completed over 18-24 months. This is an institutional standard, not an IRS numerical requirement.</w:t>
      </w:r>
    </w:p>
    <w:p>
      <w:pPr>
        <w:pStyle w:val="Heading1"/>
        <w:keepNext/>
      </w:pPr>
      <w:r>
        <w:t>2. Curriculum 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F2937"/>
            <w:vAlign w:val="center"/>
          </w:tcPr>
          <w:p>
            <w:r/>
            <w:r>
              <w:rPr>
                <w:b/>
                <w:color w:val="FFFFFF"/>
                <w:sz w:val="18"/>
              </w:rPr>
              <w:t>Code</w:t>
            </w:r>
          </w:p>
        </w:tc>
        <w:tc>
          <w:tcPr>
            <w:tcW w:type="dxa" w:w="3168"/>
            <w:shd w:fill="1F2937"/>
            <w:vAlign w:val="center"/>
          </w:tcPr>
          <w:p>
            <w:r/>
            <w:r>
              <w:rPr>
                <w:b/>
                <w:color w:val="FFFFFF"/>
                <w:sz w:val="18"/>
              </w:rPr>
              <w:t>Course</w:t>
            </w:r>
          </w:p>
        </w:tc>
        <w:tc>
          <w:tcPr>
            <w:tcW w:type="dxa" w:w="1008"/>
            <w:shd w:fill="1F2937"/>
            <w:vAlign w:val="center"/>
          </w:tcPr>
          <w:p>
            <w:r/>
            <w:r>
              <w:rPr>
                <w:b/>
                <w:color w:val="FFFFFF"/>
                <w:sz w:val="18"/>
              </w:rPr>
              <w:t>Hours</w:t>
            </w:r>
          </w:p>
        </w:tc>
        <w:tc>
          <w:tcPr>
            <w:tcW w:type="dxa" w:w="4608"/>
            <w:shd w:fill="1F2937"/>
            <w:vAlign w:val="center"/>
          </w:tcPr>
          <w:p>
            <w:r/>
            <w:r>
              <w:rPr>
                <w:b/>
                <w:color w:val="FFFFFF"/>
                <w:sz w:val="18"/>
              </w:rPr>
              <w:t>Core Outcomes</w:t>
            </w:r>
          </w:p>
        </w:tc>
      </w:tr>
      <w:tr>
        <w:trPr>
          <w:cantSplit/>
        </w:trPr>
        <w:tc>
          <w:tcPr>
            <w:tcW w:type="dxa" w:w="1440"/>
            <w:vAlign w:val="center"/>
          </w:tcPr>
          <w:p>
            <w:r/>
            <w:r>
              <w:rPr>
                <w:b w:val="0"/>
                <w:color w:val="111827"/>
                <w:sz w:val="17"/>
              </w:rPr>
              <w:t>MCS-101</w:t>
            </w:r>
          </w:p>
        </w:tc>
        <w:tc>
          <w:tcPr>
            <w:tcW w:type="dxa" w:w="3168"/>
            <w:vAlign w:val="center"/>
          </w:tcPr>
          <w:p>
            <w:r/>
            <w:r>
              <w:rPr>
                <w:b w:val="0"/>
                <w:color w:val="111827"/>
                <w:sz w:val="17"/>
              </w:rPr>
              <w:t>Comparative History of Religion</w:t>
            </w:r>
          </w:p>
        </w:tc>
        <w:tc>
          <w:tcPr>
            <w:tcW w:type="dxa" w:w="1008"/>
            <w:vAlign w:val="center"/>
          </w:tcPr>
          <w:p>
            <w:r>
              <w:t>30</w:t>
            </w:r>
          </w:p>
        </w:tc>
        <w:tc>
          <w:tcPr>
            <w:tcW w:type="dxa" w:w="4608"/>
            <w:vAlign w:val="center"/>
          </w:tcPr>
          <w:p>
            <w:r/>
            <w:r>
              <w:rPr>
                <w:b w:val="0"/>
                <w:color w:val="111827"/>
                <w:sz w:val="17"/>
              </w:rPr>
              <w:t>Global traditions; institutions; transmission; historical method</w:t>
            </w:r>
          </w:p>
        </w:tc>
      </w:tr>
      <w:tr>
        <w:trPr>
          <w:cantSplit/>
        </w:trPr>
        <w:tc>
          <w:tcPr>
            <w:tcW w:type="dxa" w:w="1440"/>
            <w:vAlign w:val="center"/>
          </w:tcPr>
          <w:p>
            <w:r/>
            <w:r>
              <w:rPr>
                <w:b w:val="0"/>
                <w:color w:val="111827"/>
                <w:sz w:val="17"/>
              </w:rPr>
              <w:t>MCS-102</w:t>
            </w:r>
          </w:p>
        </w:tc>
        <w:tc>
          <w:tcPr>
            <w:tcW w:type="dxa" w:w="3168"/>
            <w:vAlign w:val="center"/>
          </w:tcPr>
          <w:p>
            <w:r/>
            <w:r>
              <w:rPr>
                <w:b w:val="0"/>
                <w:color w:val="111827"/>
                <w:sz w:val="17"/>
              </w:rPr>
              <w:t>Phenomenology of Religious Experience</w:t>
            </w:r>
          </w:p>
        </w:tc>
        <w:tc>
          <w:tcPr>
            <w:tcW w:type="dxa" w:w="1008"/>
            <w:vAlign w:val="center"/>
          </w:tcPr>
          <w:p>
            <w:r>
              <w:t>30</w:t>
            </w:r>
          </w:p>
        </w:tc>
        <w:tc>
          <w:tcPr>
            <w:tcW w:type="dxa" w:w="4608"/>
            <w:vAlign w:val="center"/>
          </w:tcPr>
          <w:p>
            <w:r/>
            <w:r>
              <w:rPr>
                <w:b w:val="0"/>
                <w:color w:val="111827"/>
                <w:sz w:val="17"/>
              </w:rPr>
              <w:t>Prophetic, visionary, mystical, revelatory, contemplative, divinatory, and illumination claims; encounter vs interpretation</w:t>
            </w:r>
          </w:p>
        </w:tc>
      </w:tr>
      <w:tr>
        <w:trPr>
          <w:cantSplit/>
        </w:trPr>
        <w:tc>
          <w:tcPr>
            <w:tcW w:type="dxa" w:w="1440"/>
            <w:vAlign w:val="center"/>
          </w:tcPr>
          <w:p>
            <w:r/>
            <w:r>
              <w:rPr>
                <w:b w:val="0"/>
                <w:color w:val="111827"/>
                <w:sz w:val="17"/>
              </w:rPr>
              <w:t>MCS-103</w:t>
            </w:r>
          </w:p>
        </w:tc>
        <w:tc>
          <w:tcPr>
            <w:tcW w:type="dxa" w:w="3168"/>
            <w:vAlign w:val="center"/>
          </w:tcPr>
          <w:p>
            <w:r/>
            <w:r>
              <w:rPr>
                <w:b w:val="0"/>
                <w:color w:val="111827"/>
                <w:sz w:val="17"/>
              </w:rPr>
              <w:t>Sacred and Religious Texts</w:t>
            </w:r>
          </w:p>
        </w:tc>
        <w:tc>
          <w:tcPr>
            <w:tcW w:type="dxa" w:w="1008"/>
            <w:vAlign w:val="center"/>
          </w:tcPr>
          <w:p>
            <w:r>
              <w:t>30</w:t>
            </w:r>
          </w:p>
        </w:tc>
        <w:tc>
          <w:tcPr>
            <w:tcW w:type="dxa" w:w="4608"/>
            <w:vAlign w:val="center"/>
          </w:tcPr>
          <w:p>
            <w:r/>
            <w:r>
              <w:rPr>
                <w:b w:val="0"/>
                <w:color w:val="111827"/>
                <w:sz w:val="17"/>
              </w:rPr>
              <w:t>Textual history, canon formation, translation, source criticism, comparative reading</w:t>
            </w:r>
          </w:p>
        </w:tc>
      </w:tr>
      <w:tr>
        <w:trPr>
          <w:cantSplit/>
        </w:trPr>
        <w:tc>
          <w:tcPr>
            <w:tcW w:type="dxa" w:w="1440"/>
            <w:vAlign w:val="center"/>
          </w:tcPr>
          <w:p>
            <w:r/>
            <w:r>
              <w:rPr>
                <w:b w:val="0"/>
                <w:color w:val="111827"/>
                <w:sz w:val="17"/>
              </w:rPr>
              <w:t>MCS-104</w:t>
            </w:r>
          </w:p>
        </w:tc>
        <w:tc>
          <w:tcPr>
            <w:tcW w:type="dxa" w:w="3168"/>
            <w:vAlign w:val="center"/>
          </w:tcPr>
          <w:p>
            <w:r/>
            <w:r>
              <w:rPr>
                <w:b w:val="0"/>
                <w:color w:val="111827"/>
                <w:sz w:val="17"/>
              </w:rPr>
              <w:t>Hermeneutics and Epistemology</w:t>
            </w:r>
          </w:p>
        </w:tc>
        <w:tc>
          <w:tcPr>
            <w:tcW w:type="dxa" w:w="1008"/>
            <w:vAlign w:val="center"/>
          </w:tcPr>
          <w:p>
            <w:r>
              <w:t>30</w:t>
            </w:r>
          </w:p>
        </w:tc>
        <w:tc>
          <w:tcPr>
            <w:tcW w:type="dxa" w:w="4608"/>
            <w:vAlign w:val="center"/>
          </w:tcPr>
          <w:p>
            <w:r/>
            <w:r>
              <w:rPr>
                <w:b w:val="0"/>
                <w:color w:val="111827"/>
                <w:sz w:val="17"/>
              </w:rPr>
              <w:t>Interpretive methods; evidence; authority; uncertainty; reason and experience</w:t>
            </w:r>
          </w:p>
        </w:tc>
      </w:tr>
      <w:tr>
        <w:trPr>
          <w:cantSplit/>
        </w:trPr>
        <w:tc>
          <w:tcPr>
            <w:tcW w:type="dxa" w:w="1440"/>
            <w:vAlign w:val="center"/>
          </w:tcPr>
          <w:p>
            <w:r/>
            <w:r>
              <w:rPr>
                <w:b w:val="0"/>
                <w:color w:val="111827"/>
                <w:sz w:val="17"/>
              </w:rPr>
              <w:t>MCS-105</w:t>
            </w:r>
          </w:p>
        </w:tc>
        <w:tc>
          <w:tcPr>
            <w:tcW w:type="dxa" w:w="3168"/>
            <w:vAlign w:val="center"/>
          </w:tcPr>
          <w:p>
            <w:r/>
            <w:r>
              <w:rPr>
                <w:b w:val="0"/>
                <w:color w:val="111827"/>
                <w:sz w:val="17"/>
              </w:rPr>
              <w:t>Foundational Beliefs and Formal Doctrine</w:t>
            </w:r>
          </w:p>
        </w:tc>
        <w:tc>
          <w:tcPr>
            <w:tcW w:type="dxa" w:w="1008"/>
            <w:vAlign w:val="center"/>
          </w:tcPr>
          <w:p>
            <w:r>
              <w:t>30</w:t>
            </w:r>
          </w:p>
        </w:tc>
        <w:tc>
          <w:tcPr>
            <w:tcW w:type="dxa" w:w="4608"/>
            <w:vAlign w:val="center"/>
          </w:tcPr>
          <w:p>
            <w:r/>
            <w:r>
              <w:rPr>
                <w:b w:val="0"/>
                <w:color w:val="111827"/>
                <w:sz w:val="17"/>
              </w:rPr>
              <w:t>CH-007/008; doctrinal levels; open questions; development process</w:t>
            </w:r>
          </w:p>
        </w:tc>
      </w:tr>
      <w:tr>
        <w:trPr>
          <w:cantSplit/>
        </w:trPr>
        <w:tc>
          <w:tcPr>
            <w:tcW w:type="dxa" w:w="1440"/>
            <w:vAlign w:val="center"/>
          </w:tcPr>
          <w:p>
            <w:r/>
            <w:r>
              <w:rPr>
                <w:b w:val="0"/>
                <w:color w:val="111827"/>
                <w:sz w:val="17"/>
              </w:rPr>
              <w:t>MCS-106</w:t>
            </w:r>
          </w:p>
        </w:tc>
        <w:tc>
          <w:tcPr>
            <w:tcW w:type="dxa" w:w="3168"/>
            <w:vAlign w:val="center"/>
          </w:tcPr>
          <w:p>
            <w:r/>
            <w:r>
              <w:rPr>
                <w:b w:val="0"/>
                <w:color w:val="111827"/>
                <w:sz w:val="17"/>
              </w:rPr>
              <w:t>Ethics and Moral Formation</w:t>
            </w:r>
          </w:p>
        </w:tc>
        <w:tc>
          <w:tcPr>
            <w:tcW w:type="dxa" w:w="1008"/>
            <w:vAlign w:val="center"/>
          </w:tcPr>
          <w:p>
            <w:r>
              <w:t>30</w:t>
            </w:r>
          </w:p>
        </w:tc>
        <w:tc>
          <w:tcPr>
            <w:tcW w:type="dxa" w:w="4608"/>
            <w:vAlign w:val="center"/>
          </w:tcPr>
          <w:p>
            <w:r/>
            <w:r>
              <w:rPr>
                <w:b w:val="0"/>
                <w:color w:val="111827"/>
                <w:sz w:val="17"/>
              </w:rPr>
              <w:t>Personal, communal, leadership, sexual, financial, and authority ethics</w:t>
            </w:r>
          </w:p>
        </w:tc>
      </w:tr>
      <w:tr>
        <w:trPr>
          <w:cantSplit/>
        </w:trPr>
        <w:tc>
          <w:tcPr>
            <w:tcW w:type="dxa" w:w="1440"/>
            <w:vAlign w:val="center"/>
          </w:tcPr>
          <w:p>
            <w:r/>
            <w:r>
              <w:rPr>
                <w:b w:val="0"/>
                <w:color w:val="111827"/>
                <w:sz w:val="17"/>
              </w:rPr>
              <w:t>MCS-107</w:t>
            </w:r>
          </w:p>
        </w:tc>
        <w:tc>
          <w:tcPr>
            <w:tcW w:type="dxa" w:w="3168"/>
            <w:vAlign w:val="center"/>
          </w:tcPr>
          <w:p>
            <w:r/>
            <w:r>
              <w:rPr>
                <w:b w:val="0"/>
                <w:color w:val="111827"/>
                <w:sz w:val="17"/>
              </w:rPr>
              <w:t>Worship, Liturgy, and Rites</w:t>
            </w:r>
          </w:p>
        </w:tc>
        <w:tc>
          <w:tcPr>
            <w:tcW w:type="dxa" w:w="1008"/>
            <w:vAlign w:val="center"/>
          </w:tcPr>
          <w:p>
            <w:r>
              <w:t>30</w:t>
            </w:r>
          </w:p>
        </w:tc>
        <w:tc>
          <w:tcPr>
            <w:tcW w:type="dxa" w:w="4608"/>
            <w:vAlign w:val="center"/>
          </w:tcPr>
          <w:p>
            <w:r/>
            <w:r>
              <w:rPr>
                <w:b w:val="0"/>
                <w:color w:val="111827"/>
                <w:sz w:val="17"/>
              </w:rPr>
              <w:t>CH-010/011; service design; ritual competence; rite records</w:t>
            </w:r>
          </w:p>
        </w:tc>
      </w:tr>
      <w:tr>
        <w:trPr>
          <w:cantSplit/>
        </w:trPr>
        <w:tc>
          <w:tcPr>
            <w:tcW w:type="dxa" w:w="1440"/>
            <w:vAlign w:val="center"/>
          </w:tcPr>
          <w:p>
            <w:r/>
            <w:r>
              <w:rPr>
                <w:b w:val="0"/>
                <w:color w:val="111827"/>
                <w:sz w:val="17"/>
              </w:rPr>
              <w:t>MCS-108</w:t>
            </w:r>
          </w:p>
        </w:tc>
        <w:tc>
          <w:tcPr>
            <w:tcW w:type="dxa" w:w="3168"/>
            <w:vAlign w:val="center"/>
          </w:tcPr>
          <w:p>
            <w:r/>
            <w:r>
              <w:rPr>
                <w:b w:val="0"/>
                <w:color w:val="111827"/>
                <w:sz w:val="17"/>
              </w:rPr>
              <w:t>Pastoral Care and Human Limits</w:t>
            </w:r>
          </w:p>
        </w:tc>
        <w:tc>
          <w:tcPr>
            <w:tcW w:type="dxa" w:w="1008"/>
            <w:vAlign w:val="center"/>
          </w:tcPr>
          <w:p>
            <w:r>
              <w:t>30</w:t>
            </w:r>
          </w:p>
        </w:tc>
        <w:tc>
          <w:tcPr>
            <w:tcW w:type="dxa" w:w="4608"/>
            <w:vAlign w:val="center"/>
          </w:tcPr>
          <w:p>
            <w:r/>
            <w:r>
              <w:rPr>
                <w:b w:val="0"/>
                <w:color w:val="111827"/>
                <w:sz w:val="17"/>
              </w:rPr>
              <w:t>Listening, grief, crisis presence, referral, confidentiality, non-clinical boundaries</w:t>
            </w:r>
          </w:p>
        </w:tc>
      </w:tr>
      <w:tr>
        <w:trPr>
          <w:cantSplit/>
        </w:trPr>
        <w:tc>
          <w:tcPr>
            <w:tcW w:type="dxa" w:w="1440"/>
            <w:vAlign w:val="center"/>
          </w:tcPr>
          <w:p>
            <w:r/>
            <w:r>
              <w:rPr>
                <w:b w:val="0"/>
                <w:color w:val="111827"/>
                <w:sz w:val="17"/>
              </w:rPr>
              <w:t>MCS-109</w:t>
            </w:r>
          </w:p>
        </w:tc>
        <w:tc>
          <w:tcPr>
            <w:tcW w:type="dxa" w:w="3168"/>
            <w:vAlign w:val="center"/>
          </w:tcPr>
          <w:p>
            <w:r/>
            <w:r>
              <w:rPr>
                <w:b w:val="0"/>
                <w:color w:val="111827"/>
                <w:sz w:val="17"/>
              </w:rPr>
              <w:t>Ecclesiastical Governance and Canonical Order</w:t>
            </w:r>
          </w:p>
        </w:tc>
        <w:tc>
          <w:tcPr>
            <w:tcW w:type="dxa" w:w="1008"/>
            <w:vAlign w:val="center"/>
          </w:tcPr>
          <w:p>
            <w:r>
              <w:t>30</w:t>
            </w:r>
          </w:p>
        </w:tc>
        <w:tc>
          <w:tcPr>
            <w:tcW w:type="dxa" w:w="4608"/>
            <w:vAlign w:val="center"/>
          </w:tcPr>
          <w:p>
            <w:r/>
            <w:r>
              <w:rPr>
                <w:b w:val="0"/>
                <w:color w:val="111827"/>
                <w:sz w:val="17"/>
              </w:rPr>
              <w:t>REL-CON-001, ECC-CON-001, membership, discipline, jurisdiction, constitutional procedure</w:t>
            </w:r>
          </w:p>
        </w:tc>
      </w:tr>
      <w:tr>
        <w:trPr>
          <w:cantSplit/>
        </w:trPr>
        <w:tc>
          <w:tcPr>
            <w:tcW w:type="dxa" w:w="1440"/>
            <w:vAlign w:val="center"/>
          </w:tcPr>
          <w:p>
            <w:r/>
            <w:r>
              <w:rPr>
                <w:b w:val="0"/>
                <w:color w:val="111827"/>
                <w:sz w:val="17"/>
              </w:rPr>
              <w:t>MCS-110</w:t>
            </w:r>
          </w:p>
        </w:tc>
        <w:tc>
          <w:tcPr>
            <w:tcW w:type="dxa" w:w="3168"/>
            <w:vAlign w:val="center"/>
          </w:tcPr>
          <w:p>
            <w:r/>
            <w:r>
              <w:rPr>
                <w:b w:val="0"/>
                <w:color w:val="111827"/>
                <w:sz w:val="17"/>
              </w:rPr>
              <w:t>Safeguarding and Abuse Prevention</w:t>
            </w:r>
          </w:p>
        </w:tc>
        <w:tc>
          <w:tcPr>
            <w:tcW w:type="dxa" w:w="1008"/>
            <w:vAlign w:val="center"/>
          </w:tcPr>
          <w:p>
            <w:r>
              <w:t>30</w:t>
            </w:r>
          </w:p>
        </w:tc>
        <w:tc>
          <w:tcPr>
            <w:tcW w:type="dxa" w:w="4608"/>
            <w:vAlign w:val="center"/>
          </w:tcPr>
          <w:p>
            <w:r/>
            <w:r>
              <w:rPr>
                <w:b w:val="0"/>
                <w:color w:val="111827"/>
                <w:sz w:val="17"/>
              </w:rPr>
              <w:t>Children/vulnerable persons, spiritual abuse, reporting, boundary violations, trauma-informed institutional response</w:t>
            </w:r>
          </w:p>
        </w:tc>
      </w:tr>
      <w:tr>
        <w:trPr>
          <w:cantSplit/>
        </w:trPr>
        <w:tc>
          <w:tcPr>
            <w:tcW w:type="dxa" w:w="1440"/>
            <w:vAlign w:val="center"/>
          </w:tcPr>
          <w:p>
            <w:r/>
            <w:r>
              <w:rPr>
                <w:b w:val="0"/>
                <w:color w:val="111827"/>
                <w:sz w:val="17"/>
              </w:rPr>
              <w:t>MCS-111</w:t>
            </w:r>
          </w:p>
        </w:tc>
        <w:tc>
          <w:tcPr>
            <w:tcW w:type="dxa" w:w="3168"/>
            <w:vAlign w:val="center"/>
          </w:tcPr>
          <w:p>
            <w:r/>
            <w:r>
              <w:rPr>
                <w:b w:val="0"/>
                <w:color w:val="111827"/>
                <w:sz w:val="17"/>
              </w:rPr>
              <w:t>Teaching, Formation, and Religious Education</w:t>
            </w:r>
          </w:p>
        </w:tc>
        <w:tc>
          <w:tcPr>
            <w:tcW w:type="dxa" w:w="1008"/>
            <w:vAlign w:val="center"/>
          </w:tcPr>
          <w:p>
            <w:r>
              <w:t>30</w:t>
            </w:r>
          </w:p>
        </w:tc>
        <w:tc>
          <w:tcPr>
            <w:tcW w:type="dxa" w:w="4608"/>
            <w:vAlign w:val="center"/>
          </w:tcPr>
          <w:p>
            <w:r/>
            <w:r>
              <w:rPr>
                <w:b w:val="0"/>
                <w:color w:val="111827"/>
                <w:sz w:val="17"/>
              </w:rPr>
              <w:t>Adult/youth pedagogy, lesson design, inquiry, developmental appropriateness, doctrinal labeling</w:t>
            </w:r>
          </w:p>
        </w:tc>
      </w:tr>
      <w:tr>
        <w:trPr>
          <w:cantSplit/>
        </w:trPr>
        <w:tc>
          <w:tcPr>
            <w:tcW w:type="dxa" w:w="1440"/>
            <w:vAlign w:val="center"/>
          </w:tcPr>
          <w:p>
            <w:r/>
            <w:r>
              <w:rPr>
                <w:b w:val="0"/>
                <w:color w:val="111827"/>
                <w:sz w:val="17"/>
              </w:rPr>
              <w:t>MCS-112</w:t>
            </w:r>
          </w:p>
        </w:tc>
        <w:tc>
          <w:tcPr>
            <w:tcW w:type="dxa" w:w="3168"/>
            <w:vAlign w:val="center"/>
          </w:tcPr>
          <w:p>
            <w:r/>
            <w:r>
              <w:rPr>
                <w:b w:val="0"/>
                <w:color w:val="111827"/>
                <w:sz w:val="17"/>
              </w:rPr>
              <w:t>Nonprofit, Finance, and Public Ministry Literacy</w:t>
            </w:r>
          </w:p>
        </w:tc>
        <w:tc>
          <w:tcPr>
            <w:tcW w:type="dxa" w:w="1008"/>
            <w:vAlign w:val="center"/>
          </w:tcPr>
          <w:p>
            <w:r>
              <w:t>30</w:t>
            </w:r>
          </w:p>
        </w:tc>
        <w:tc>
          <w:tcPr>
            <w:tcW w:type="dxa" w:w="4608"/>
            <w:vAlign w:val="center"/>
          </w:tcPr>
          <w:p>
            <w:r/>
            <w:r>
              <w:rPr>
                <w:b w:val="0"/>
                <w:color w:val="111827"/>
                <w:sz w:val="17"/>
              </w:rPr>
              <w:t>Fiduciary boundaries, tax-exempt constraints, records, donations, public communications, legal-referral limits</w:t>
            </w:r>
          </w:p>
        </w:tc>
      </w:tr>
    </w:tbl>
    <w:p/>
    <w:p>
      <w:pPr>
        <w:pStyle w:val="Heading1"/>
        <w:keepNext/>
      </w:pPr>
      <w:r>
        <w:t>3. Formation Beyond Coursework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2937"/>
            <w:vAlign w:val="center"/>
          </w:tcPr>
          <w:p>
            <w:r/>
            <w:r>
              <w:rPr>
                <w:b/>
                <w:color w:val="FFFFFF"/>
                <w:sz w:val="18"/>
              </w:rPr>
              <w:t>Component</w:t>
            </w:r>
          </w:p>
        </w:tc>
        <w:tc>
          <w:tcPr>
            <w:tcW w:type="dxa" w:w="1728"/>
            <w:shd w:fill="1F2937"/>
            <w:vAlign w:val="center"/>
          </w:tcPr>
          <w:p>
            <w:r/>
            <w:r>
              <w:rPr>
                <w:b/>
                <w:color w:val="FFFFFF"/>
                <w:sz w:val="18"/>
              </w:rPr>
              <w:t>Target Hours</w:t>
            </w:r>
          </w:p>
        </w:tc>
        <w:tc>
          <w:tcPr>
            <w:tcW w:type="dxa" w:w="5328"/>
            <w:shd w:fill="1F2937"/>
            <w:vAlign w:val="center"/>
          </w:tcPr>
          <w:p>
            <w:r/>
            <w:r>
              <w:rPr>
                <w:b/>
                <w:color w:val="FFFFFF"/>
                <w:sz w:val="18"/>
              </w:rPr>
              <w:t>Requirement</w:t>
            </w:r>
          </w:p>
        </w:tc>
      </w:tr>
      <w:tr>
        <w:trPr>
          <w:cantSplit/>
        </w:trPr>
        <w:tc>
          <w:tcPr>
            <w:tcW w:type="dxa" w:w="3168"/>
            <w:vAlign w:val="center"/>
          </w:tcPr>
          <w:p>
            <w:r>
              <w:t>Prescribed coursework</w:t>
            </w:r>
          </w:p>
        </w:tc>
        <w:tc>
          <w:tcPr>
            <w:tcW w:type="dxa" w:w="1728"/>
            <w:vAlign w:val="center"/>
          </w:tcPr>
          <w:p>
            <w:r>
              <w:t>360</w:t>
            </w:r>
          </w:p>
        </w:tc>
        <w:tc>
          <w:tcPr>
            <w:tcW w:type="dxa" w:w="5328"/>
            <w:vAlign w:val="center"/>
          </w:tcPr>
          <w:p>
            <w:r>
              <w:t>Course ledger, syllabi, assessments; 12 x approximately 30 hours</w:t>
            </w:r>
          </w:p>
        </w:tc>
      </w:tr>
      <w:tr>
        <w:trPr>
          <w:cantSplit/>
        </w:trPr>
        <w:tc>
          <w:tcPr>
            <w:tcW w:type="dxa" w:w="3168"/>
            <w:vAlign w:val="center"/>
          </w:tcPr>
          <w:p>
            <w:r>
              <w:t>Personal/spiritual formation</w:t>
            </w:r>
          </w:p>
        </w:tc>
        <w:tc>
          <w:tcPr>
            <w:tcW w:type="dxa" w:w="1728"/>
            <w:vAlign w:val="center"/>
          </w:tcPr>
          <w:p>
            <w:r>
              <w:t>80</w:t>
            </w:r>
          </w:p>
        </w:tc>
        <w:tc>
          <w:tcPr>
            <w:tcW w:type="dxa" w:w="5328"/>
            <w:vAlign w:val="center"/>
          </w:tcPr>
          <w:p>
            <w:r>
              <w:t>Formation plan, mentor reviews, reflective artifacts</w:t>
            </w:r>
          </w:p>
        </w:tc>
      </w:tr>
      <w:tr>
        <w:trPr>
          <w:cantSplit/>
        </w:trPr>
        <w:tc>
          <w:tcPr>
            <w:tcW w:type="dxa" w:w="3168"/>
            <w:vAlign w:val="center"/>
          </w:tcPr>
          <w:p>
            <w:r>
              <w:t>Supervised ministry practicum</w:t>
            </w:r>
          </w:p>
        </w:tc>
        <w:tc>
          <w:tcPr>
            <w:tcW w:type="dxa" w:w="1728"/>
            <w:vAlign w:val="center"/>
          </w:tcPr>
          <w:p>
            <w:r>
              <w:t>220</w:t>
            </w:r>
          </w:p>
        </w:tc>
        <w:tc>
          <w:tcPr>
            <w:tcW w:type="dxa" w:w="5328"/>
            <w:vAlign w:val="center"/>
          </w:tcPr>
          <w:p>
            <w:r>
              <w:t>Practicum log, supervisor observations, competency evaluations</w:t>
            </w:r>
          </w:p>
        </w:tc>
      </w:tr>
      <w:tr>
        <w:trPr>
          <w:cantSplit/>
        </w:trPr>
        <w:tc>
          <w:tcPr>
            <w:tcW w:type="dxa" w:w="3168"/>
            <w:vAlign w:val="center"/>
          </w:tcPr>
          <w:p>
            <w:r>
              <w:t>Integrative assessment/examinations</w:t>
            </w:r>
          </w:p>
        </w:tc>
        <w:tc>
          <w:tcPr>
            <w:tcW w:type="dxa" w:w="1728"/>
            <w:vAlign w:val="center"/>
          </w:tcPr>
          <w:p>
            <w:r>
              <w:t>60</w:t>
            </w:r>
          </w:p>
        </w:tc>
        <w:tc>
          <w:tcPr>
            <w:tcW w:type="dxa" w:w="5328"/>
            <w:vAlign w:val="center"/>
          </w:tcPr>
          <w:p>
            <w:r>
              <w:t>Capstone, written/oral/practical examinations</w:t>
            </w:r>
          </w:p>
        </w:tc>
      </w:tr>
      <w:tr>
        <w:tc>
          <w:tcPr>
            <w:tcW w:type="dxa" w:w="3389"/>
          </w:tcPr>
          <w:p>
            <w:r>
              <w:t>Total program target</w:t>
            </w:r>
          </w:p>
        </w:tc>
        <w:tc>
          <w:tcPr>
            <w:tcW w:type="dxa" w:w="3389"/>
          </w:tcPr>
          <w:p>
            <w:r>
              <w:t>720</w:t>
            </w:r>
          </w:p>
        </w:tc>
        <w:tc>
          <w:tcPr>
            <w:tcW w:type="dxa" w:w="3389"/>
          </w:tcPr>
          <w:p>
            <w:r>
              <w:t>No double counting of the same activity across components</w:t>
            </w:r>
          </w:p>
        </w:tc>
      </w:tr>
    </w:tbl>
    <w:p/>
    <w:p>
      <w:pPr>
        <w:pStyle w:val="Heading1"/>
        <w:keepNext/>
      </w:pPr>
      <w:r>
        <w:t>4. Course Completion Standard</w:t>
      </w:r>
    </w:p>
    <w:p>
      <w:pPr>
        <w:pStyle w:val="ListBullet"/>
        <w:keepLines/>
      </w:pPr>
      <w:r>
        <w:t>Published syllabus and learning outcomes.</w:t>
      </w:r>
    </w:p>
    <w:p>
      <w:pPr>
        <w:pStyle w:val="ListBullet"/>
        <w:keepLines/>
      </w:pPr>
      <w:r>
        <w:t>Documented instructional/independent-study hours.</w:t>
      </w:r>
    </w:p>
    <w:p>
      <w:pPr>
        <w:pStyle w:val="ListBullet"/>
        <w:keepLines/>
      </w:pPr>
      <w:r>
        <w:t>Required readings or source sets.</w:t>
      </w:r>
    </w:p>
    <w:p>
      <w:pPr>
        <w:pStyle w:val="ListBullet"/>
        <w:keepLines/>
      </w:pPr>
      <w:r>
        <w:t>At least one assessed written, oral, or practical artifact.</w:t>
      </w:r>
    </w:p>
    <w:p>
      <w:pPr>
        <w:pStyle w:val="ListBullet"/>
        <w:keepLines/>
      </w:pPr>
      <w:r>
        <w:t>Minimum satisfactory performance established before enrollment.</w:t>
      </w:r>
    </w:p>
    <w:p>
      <w:pPr>
        <w:pStyle w:val="ListBullet"/>
        <w:keepLines/>
      </w:pPr>
      <w:r>
        <w:t>Attendance/engagement records for synchronous courses.</w:t>
      </w:r>
    </w:p>
    <w:p>
      <w:pPr>
        <w:pStyle w:val="ListBullet"/>
        <w:keepLines/>
      </w:pPr>
      <w:r>
        <w:t>Instructor or evaluator of record.</w:t>
      </w:r>
    </w:p>
    <w:p>
      <w:pPr>
        <w:pStyle w:val="ListBullet"/>
        <w:keepLines/>
      </w:pPr>
      <w:r>
        <w:t>Remediation path for deficient competencies.</w:t>
      </w:r>
    </w:p>
    <w:p>
      <w:pPr>
        <w:pStyle w:val="Heading1"/>
        <w:keepNext/>
      </w:pPr>
      <w:r>
        <w:t>5. Equivalency and Transfer Credit</w:t>
      </w:r>
    </w:p>
    <w:p>
      <w:pPr>
        <w:keepLines/>
      </w:pPr>
      <w:r>
        <w:t>Prior seminary, university, denominational, professional, or self-directed learning may receive equivalency only after transcript/document review and an assessment showing mastery of the Religious Body's own constitutional, doctrinal, safeguarding, and worship requirements. No candidate may receive blanket waiver of the community-specific core.</w:t>
      </w:r>
    </w:p>
    <w:p>
      <w:pPr>
        <w:pStyle w:val="Heading1"/>
        <w:keepNext/>
      </w:pPr>
      <w:r>
        <w:t>6. Required Capstone</w:t>
      </w:r>
    </w:p>
    <w:p>
      <w:pPr>
        <w:keepLines/>
      </w:pPr>
      <w:r>
        <w:t>Each ordination candidate shall complete an integrative capstone demonstrating historical and theological reasoning, ethical and safeguarding competence, constitutional literacy, practical ministry judgment, and the ability to distinguish evidence, interpretation, doctrine, pastoral counsel, and personal belief.</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CH-026 | Ministerial Course of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