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Ordination Procedure</w:t>
      </w:r>
    </w:p>
    <w:p>
      <w:pPr>
        <w:jc w:val="center"/>
      </w:pPr>
      <w:r>
        <w:rPr>
          <w:i/>
          <w:color w:val="475569"/>
          <w:sz w:val="24"/>
        </w:rPr>
        <w:t>End-to-end procedure from candidacy completion through ordination record</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2937"/>
            <w:vAlign w:val="center"/>
          </w:tcPr>
          <w:p>
            <w:r/>
            <w:r>
              <w:rPr>
                <w:b/>
                <w:color w:val="FFFFFF"/>
                <w:sz w:val="18"/>
              </w:rPr>
              <w:t>Field</w:t>
            </w:r>
          </w:p>
        </w:tc>
        <w:tc>
          <w:tcPr>
            <w:tcW w:type="dxa" w:w="6912"/>
            <w:shd w:fill="1F2937"/>
            <w:vAlign w:val="center"/>
          </w:tcPr>
          <w:p>
            <w:r/>
            <w:r>
              <w:rPr>
                <w:b/>
                <w:color w:val="FFFFFF"/>
                <w:sz w:val="18"/>
              </w:rPr>
              <w:t>Entry</w:t>
            </w:r>
          </w:p>
        </w:tc>
      </w:tr>
      <w:tr>
        <w:trPr>
          <w:cantSplit/>
        </w:trPr>
        <w:tc>
          <w:tcPr>
            <w:tcW w:type="dxa" w:w="2880"/>
            <w:vAlign w:val="center"/>
          </w:tcPr>
          <w:p>
            <w:r/>
            <w:r>
              <w:rPr>
                <w:b w:val="0"/>
                <w:color w:val="111827"/>
                <w:sz w:val="17"/>
              </w:rPr>
              <w:t>Document ID</w:t>
            </w:r>
          </w:p>
        </w:tc>
        <w:tc>
          <w:tcPr>
            <w:tcW w:type="dxa" w:w="6912"/>
            <w:vAlign w:val="center"/>
          </w:tcPr>
          <w:p>
            <w:r/>
            <w:r>
              <w:rPr>
                <w:b w:val="0"/>
                <w:color w:val="111827"/>
                <w:sz w:val="17"/>
              </w:rPr>
              <w:t>CH-027</w:t>
            </w:r>
          </w:p>
        </w:tc>
      </w:tr>
      <w:tr>
        <w:trPr>
          <w:cantSplit/>
        </w:trPr>
        <w:tc>
          <w:tcPr>
            <w:tcW w:type="dxa" w:w="2880"/>
            <w:vAlign w:val="center"/>
          </w:tcPr>
          <w:p>
            <w:r/>
            <w:r>
              <w:rPr>
                <w:b w:val="0"/>
                <w:color w:val="111827"/>
                <w:sz w:val="17"/>
              </w:rPr>
              <w:t>Version</w:t>
            </w:r>
          </w:p>
        </w:tc>
        <w:tc>
          <w:tcPr>
            <w:tcW w:type="dxa" w:w="6912"/>
            <w:vAlign w:val="center"/>
          </w:tcPr>
          <w:p>
            <w:r/>
            <w:r>
              <w:rPr>
                <w:b w:val="0"/>
                <w:color w:val="111827"/>
                <w:sz w:val="17"/>
              </w:rPr>
              <w:t>0.1.0</w:t>
            </w:r>
          </w:p>
        </w:tc>
      </w:tr>
      <w:tr>
        <w:trPr>
          <w:cantSplit/>
        </w:trPr>
        <w:tc>
          <w:tcPr>
            <w:tcW w:type="dxa" w:w="2880"/>
            <w:vAlign w:val="center"/>
          </w:tcPr>
          <w:p>
            <w:r/>
            <w:r>
              <w:rPr>
                <w:b w:val="0"/>
                <w:color w:val="111827"/>
                <w:sz w:val="17"/>
              </w:rPr>
              <w:t>Status</w:t>
            </w:r>
          </w:p>
        </w:tc>
        <w:tc>
          <w:tcPr>
            <w:tcW w:type="dxa" w:w="6912"/>
            <w:vAlign w:val="center"/>
          </w:tcPr>
          <w:p>
            <w:r/>
            <w:r>
              <w:rPr>
                <w:b w:val="0"/>
                <w:color w:val="111827"/>
                <w:sz w:val="17"/>
              </w:rPr>
              <w:t>Working Draft - Not Effective Until Adopted</w:t>
            </w:r>
          </w:p>
        </w:tc>
      </w:tr>
      <w:tr>
        <w:trPr>
          <w:cantSplit/>
        </w:trPr>
        <w:tc>
          <w:tcPr>
            <w:tcW w:type="dxa" w:w="2880"/>
            <w:vAlign w:val="center"/>
          </w:tcPr>
          <w:p>
            <w:r/>
            <w:r>
              <w:rPr>
                <w:b w:val="0"/>
                <w:color w:val="111827"/>
                <w:sz w:val="17"/>
              </w:rPr>
              <w:t>Corporation / Religious Body</w:t>
            </w:r>
          </w:p>
        </w:tc>
        <w:tc>
          <w:tcPr>
            <w:tcW w:type="dxa" w:w="6912"/>
            <w:vAlign w:val="center"/>
          </w:tcPr>
          <w:p>
            <w:r/>
            <w:r>
              <w:rPr>
                <w:b w:val="0"/>
                <w:color w:val="111827"/>
                <w:sz w:val="17"/>
              </w:rPr>
              <w:t>[[CORP_NAME]]</w:t>
            </w:r>
          </w:p>
        </w:tc>
      </w:tr>
      <w:tr>
        <w:trPr>
          <w:cantSplit/>
        </w:trPr>
        <w:tc>
          <w:tcPr>
            <w:tcW w:type="dxa" w:w="2880"/>
            <w:vAlign w:val="center"/>
          </w:tcPr>
          <w:p>
            <w:r/>
            <w:r>
              <w:rPr>
                <w:b w:val="0"/>
                <w:color w:val="111827"/>
                <w:sz w:val="17"/>
              </w:rPr>
              <w:t>Parent Authority</w:t>
            </w:r>
          </w:p>
        </w:tc>
        <w:tc>
          <w:tcPr>
            <w:tcW w:type="dxa" w:w="6912"/>
            <w:vAlign w:val="center"/>
          </w:tcPr>
          <w:p>
            <w:r/>
            <w:r>
              <w:rPr>
                <w:b w:val="0"/>
                <w:color w:val="111827"/>
                <w:sz w:val="17"/>
              </w:rPr>
              <w:t>REL-CON-001; ECC-CON-001; MIN-001; applicable doctrine and safeguarding instruments</w:t>
            </w:r>
          </w:p>
        </w:tc>
      </w:tr>
      <w:tr>
        <w:trPr>
          <w:cantSplit/>
        </w:trPr>
        <w:tc>
          <w:tcPr>
            <w:tcW w:type="dxa" w:w="2880"/>
            <w:vAlign w:val="center"/>
          </w:tcPr>
          <w:p>
            <w:r/>
            <w:r>
              <w:rPr>
                <w:b w:val="0"/>
                <w:color w:val="111827"/>
                <w:sz w:val="17"/>
              </w:rPr>
              <w:t>Prepared</w:t>
            </w:r>
          </w:p>
        </w:tc>
        <w:tc>
          <w:tcPr>
            <w:tcW w:type="dxa" w:w="6912"/>
            <w:vAlign w:val="center"/>
          </w:tcPr>
          <w:p>
            <w:r/>
            <w:r>
              <w:rPr>
                <w:b w:val="0"/>
                <w:color w:val="111827"/>
                <w:sz w:val="17"/>
              </w:rPr>
              <w:t>September 2026</w:t>
            </w:r>
          </w:p>
        </w:tc>
      </w:tr>
    </w:tbl>
    <w:p/>
    <w:p>
      <w:pPr>
        <w:pStyle w:val="Heading2"/>
        <w:keepNext/>
      </w:pPr>
      <w:r>
        <w:t>Document-Control Notice</w:t>
      </w:r>
    </w:p>
    <w:p>
      <w:r>
        <w:t>This document is a working institutional instrument. Placeholder text in double brackets must be replaced with verified facts before adoption. No draft credential, course completion, ordination, ministry assignment, or educational activity may be represented as having occurred until the underlying act actually occurs and is contemporaneously recorded.</w:t>
      </w:r>
    </w:p>
    <w:p>
      <w:r>
        <w:br w:type="page"/>
      </w:r>
    </w:p>
    <w:p>
      <w:pPr>
        <w:pStyle w:val="Heading1"/>
        <w:keepNext/>
      </w:pPr>
      <w:r>
        <w:t>1. Purpose</w:t>
      </w:r>
    </w:p>
    <w:p>
      <w:pPr>
        <w:keepLines/>
      </w:pPr>
      <w:r>
        <w:t>This Procedure defines the steps by which an eligible Ministry Candidate may be examined and, if qualified, ordained. No step is retroactively presumed complete merely because a later authority wishes to ordain the candidate.</w:t>
      </w:r>
    </w:p>
    <w:p>
      <w:pPr>
        <w:pStyle w:val="Heading1"/>
        <w:keepNext/>
      </w:pPr>
      <w:r>
        <w:t>2. Procedure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shd w:fill="1F2937"/>
            <w:vAlign w:val="center"/>
          </w:tcPr>
          <w:p>
            <w:r/>
            <w:r>
              <w:rPr>
                <w:b/>
                <w:color w:val="FFFFFF"/>
                <w:sz w:val="18"/>
              </w:rPr>
              <w:t>Step</w:t>
            </w:r>
          </w:p>
        </w:tc>
        <w:tc>
          <w:tcPr>
            <w:tcW w:type="dxa" w:w="6696"/>
            <w:shd w:fill="1F2937"/>
            <w:vAlign w:val="center"/>
          </w:tcPr>
          <w:p>
            <w:r/>
            <w:r>
              <w:rPr>
                <w:b/>
                <w:color w:val="FFFFFF"/>
                <w:sz w:val="18"/>
              </w:rPr>
              <w:t>Control</w:t>
            </w:r>
          </w:p>
        </w:tc>
      </w:tr>
      <w:tr>
        <w:trPr>
          <w:cantSplit/>
        </w:trPr>
        <w:tc>
          <w:tcPr>
            <w:tcW w:type="dxa" w:w="3240"/>
            <w:vAlign w:val="center"/>
          </w:tcPr>
          <w:p>
            <w:r/>
            <w:r>
              <w:rPr>
                <w:b w:val="0"/>
                <w:color w:val="111827"/>
                <w:sz w:val="17"/>
              </w:rPr>
              <w:t>1. Candidate completion petition</w:t>
            </w:r>
          </w:p>
        </w:tc>
        <w:tc>
          <w:tcPr>
            <w:tcW w:type="dxa" w:w="6696"/>
            <w:vAlign w:val="center"/>
          </w:tcPr>
          <w:p>
            <w:r/>
            <w:r>
              <w:rPr>
                <w:b w:val="0"/>
                <w:color w:val="111827"/>
                <w:sz w:val="17"/>
              </w:rPr>
              <w:t>Candidate submits request for final review with formation portfolio.</w:t>
            </w:r>
          </w:p>
        </w:tc>
      </w:tr>
      <w:tr>
        <w:trPr>
          <w:cantSplit/>
        </w:trPr>
        <w:tc>
          <w:tcPr>
            <w:tcW w:type="dxa" w:w="3240"/>
            <w:vAlign w:val="center"/>
          </w:tcPr>
          <w:p>
            <w:r/>
            <w:r>
              <w:rPr>
                <w:b w:val="0"/>
                <w:color w:val="111827"/>
                <w:sz w:val="17"/>
              </w:rPr>
              <w:t>2. Administrative completeness check</w:t>
            </w:r>
          </w:p>
        </w:tc>
        <w:tc>
          <w:tcPr>
            <w:tcW w:type="dxa" w:w="6696"/>
            <w:vAlign w:val="center"/>
          </w:tcPr>
          <w:p>
            <w:r/>
            <w:r>
              <w:rPr>
                <w:b w:val="0"/>
                <w:color w:val="111827"/>
                <w:sz w:val="17"/>
              </w:rPr>
              <w:t>Registrar confirms course, practicum, screening, evaluations, and required records.</w:t>
            </w:r>
          </w:p>
        </w:tc>
      </w:tr>
      <w:tr>
        <w:trPr>
          <w:cantSplit/>
        </w:trPr>
        <w:tc>
          <w:tcPr>
            <w:tcW w:type="dxa" w:w="3240"/>
            <w:vAlign w:val="center"/>
          </w:tcPr>
          <w:p>
            <w:r/>
            <w:r>
              <w:rPr>
                <w:b w:val="0"/>
                <w:color w:val="111827"/>
                <w:sz w:val="17"/>
              </w:rPr>
              <w:t>3. Conflict review</w:t>
            </w:r>
          </w:p>
        </w:tc>
        <w:tc>
          <w:tcPr>
            <w:tcW w:type="dxa" w:w="6696"/>
            <w:vAlign w:val="center"/>
          </w:tcPr>
          <w:p>
            <w:r/>
            <w:r>
              <w:rPr>
                <w:b w:val="0"/>
                <w:color w:val="111827"/>
                <w:sz w:val="17"/>
              </w:rPr>
              <w:t>Credentialing panel members disclose conflicts and recusals are documented.</w:t>
            </w:r>
          </w:p>
        </w:tc>
      </w:tr>
      <w:tr>
        <w:trPr>
          <w:cantSplit/>
        </w:trPr>
        <w:tc>
          <w:tcPr>
            <w:tcW w:type="dxa" w:w="3240"/>
            <w:vAlign w:val="center"/>
          </w:tcPr>
          <w:p>
            <w:r/>
            <w:r>
              <w:rPr>
                <w:b w:val="0"/>
                <w:color w:val="111827"/>
                <w:sz w:val="17"/>
              </w:rPr>
              <w:t>4. Formation review</w:t>
            </w:r>
          </w:p>
        </w:tc>
        <w:tc>
          <w:tcPr>
            <w:tcW w:type="dxa" w:w="6696"/>
            <w:vAlign w:val="center"/>
          </w:tcPr>
          <w:p>
            <w:r/>
            <w:r>
              <w:rPr>
                <w:b w:val="0"/>
                <w:color w:val="111827"/>
                <w:sz w:val="17"/>
              </w:rPr>
              <w:t>Panel reviews coursework, mentor/supervisor evaluations, and candidate self-assessment.</w:t>
            </w:r>
          </w:p>
        </w:tc>
      </w:tr>
      <w:tr>
        <w:trPr>
          <w:cantSplit/>
        </w:trPr>
        <w:tc>
          <w:tcPr>
            <w:tcW w:type="dxa" w:w="3240"/>
            <w:vAlign w:val="center"/>
          </w:tcPr>
          <w:p>
            <w:r/>
            <w:r>
              <w:rPr>
                <w:b w:val="0"/>
                <w:color w:val="111827"/>
                <w:sz w:val="17"/>
              </w:rPr>
              <w:t>5. Written examination</w:t>
            </w:r>
          </w:p>
        </w:tc>
        <w:tc>
          <w:tcPr>
            <w:tcW w:type="dxa" w:w="6696"/>
            <w:vAlign w:val="center"/>
          </w:tcPr>
          <w:p>
            <w:r/>
            <w:r>
              <w:rPr>
                <w:b w:val="0"/>
                <w:color w:val="111827"/>
                <w:sz w:val="17"/>
              </w:rPr>
              <w:t>Candidate demonstrates doctrine, history, ethics, governance, safeguarding, and ministry judgment.</w:t>
            </w:r>
          </w:p>
        </w:tc>
      </w:tr>
      <w:tr>
        <w:trPr>
          <w:cantSplit/>
        </w:trPr>
        <w:tc>
          <w:tcPr>
            <w:tcW w:type="dxa" w:w="3240"/>
            <w:vAlign w:val="center"/>
          </w:tcPr>
          <w:p>
            <w:r/>
            <w:r>
              <w:rPr>
                <w:b w:val="0"/>
                <w:color w:val="111827"/>
                <w:sz w:val="17"/>
              </w:rPr>
              <w:t>6. Oral examination</w:t>
            </w:r>
          </w:p>
        </w:tc>
        <w:tc>
          <w:tcPr>
            <w:tcW w:type="dxa" w:w="6696"/>
            <w:vAlign w:val="center"/>
          </w:tcPr>
          <w:p>
            <w:r/>
            <w:r>
              <w:rPr>
                <w:b w:val="0"/>
                <w:color w:val="111827"/>
                <w:sz w:val="17"/>
              </w:rPr>
              <w:t>Panel tests integrative reasoning, pastoral scenarios, authority boundaries, and open theological questions.</w:t>
            </w:r>
          </w:p>
        </w:tc>
      </w:tr>
      <w:tr>
        <w:trPr>
          <w:cantSplit/>
        </w:trPr>
        <w:tc>
          <w:tcPr>
            <w:tcW w:type="dxa" w:w="3240"/>
            <w:vAlign w:val="center"/>
          </w:tcPr>
          <w:p>
            <w:r/>
            <w:r>
              <w:rPr>
                <w:b w:val="0"/>
                <w:color w:val="111827"/>
                <w:sz w:val="17"/>
              </w:rPr>
              <w:t>7. Practical examination</w:t>
            </w:r>
          </w:p>
        </w:tc>
        <w:tc>
          <w:tcPr>
            <w:tcW w:type="dxa" w:w="6696"/>
            <w:vAlign w:val="center"/>
          </w:tcPr>
          <w:p>
            <w:r/>
            <w:r>
              <w:rPr>
                <w:b w:val="0"/>
                <w:color w:val="111827"/>
                <w:sz w:val="17"/>
              </w:rPr>
              <w:t>Observed worship leadership, teaching, rite administration where applicable, and pastoral-care simulation.</w:t>
            </w:r>
          </w:p>
        </w:tc>
      </w:tr>
      <w:tr>
        <w:trPr>
          <w:cantSplit/>
        </w:trPr>
        <w:tc>
          <w:tcPr>
            <w:tcW w:type="dxa" w:w="3240"/>
            <w:vAlign w:val="center"/>
          </w:tcPr>
          <w:p>
            <w:r/>
            <w:r>
              <w:rPr>
                <w:b w:val="0"/>
                <w:color w:val="111827"/>
                <w:sz w:val="17"/>
              </w:rPr>
              <w:t>8. Character and safeguarding review</w:t>
            </w:r>
          </w:p>
        </w:tc>
        <w:tc>
          <w:tcPr>
            <w:tcW w:type="dxa" w:w="6696"/>
            <w:vAlign w:val="center"/>
          </w:tcPr>
          <w:p>
            <w:r/>
            <w:r>
              <w:rPr>
                <w:b w:val="0"/>
                <w:color w:val="111827"/>
                <w:sz w:val="17"/>
              </w:rPr>
              <w:t>Current screening, conduct history, references, boundary competence, and unresolved concerns reviewed.</w:t>
            </w:r>
          </w:p>
        </w:tc>
      </w:tr>
      <w:tr>
        <w:trPr>
          <w:cantSplit/>
        </w:trPr>
        <w:tc>
          <w:tcPr>
            <w:tcW w:type="dxa" w:w="3240"/>
            <w:vAlign w:val="center"/>
          </w:tcPr>
          <w:p>
            <w:r/>
            <w:r>
              <w:rPr>
                <w:b w:val="0"/>
                <w:color w:val="111827"/>
                <w:sz w:val="17"/>
              </w:rPr>
              <w:t>9. Panel recommendation</w:t>
            </w:r>
          </w:p>
        </w:tc>
        <w:tc>
          <w:tcPr>
            <w:tcW w:type="dxa" w:w="6696"/>
            <w:vAlign w:val="center"/>
          </w:tcPr>
          <w:p>
            <w:r/>
            <w:r>
              <w:rPr>
                <w:b w:val="0"/>
                <w:color w:val="111827"/>
                <w:sz w:val="17"/>
              </w:rPr>
              <w:t>Panel records approve, approve with conditions, defer/remediate, or deny.</w:t>
            </w:r>
          </w:p>
        </w:tc>
      </w:tr>
      <w:tr>
        <w:trPr>
          <w:cantSplit/>
        </w:trPr>
        <w:tc>
          <w:tcPr>
            <w:tcW w:type="dxa" w:w="3240"/>
            <w:vAlign w:val="center"/>
          </w:tcPr>
          <w:p>
            <w:r/>
            <w:r>
              <w:rPr>
                <w:b w:val="0"/>
                <w:color w:val="111827"/>
                <w:sz w:val="17"/>
              </w:rPr>
              <w:t>10. Ecclesiastical Council action</w:t>
            </w:r>
          </w:p>
        </w:tc>
        <w:tc>
          <w:tcPr>
            <w:tcW w:type="dxa" w:w="6696"/>
            <w:vAlign w:val="center"/>
          </w:tcPr>
          <w:p>
            <w:r/>
            <w:r>
              <w:rPr>
                <w:b w:val="0"/>
                <w:color w:val="111827"/>
                <w:sz w:val="17"/>
              </w:rPr>
              <w:t>Council takes formal action using the threshold required by MIN-001.</w:t>
            </w:r>
          </w:p>
        </w:tc>
      </w:tr>
      <w:tr>
        <w:trPr>
          <w:cantSplit/>
        </w:trPr>
        <w:tc>
          <w:tcPr>
            <w:tcW w:type="dxa" w:w="3240"/>
            <w:vAlign w:val="center"/>
          </w:tcPr>
          <w:p>
            <w:r/>
            <w:r>
              <w:rPr>
                <w:b w:val="0"/>
                <w:color w:val="111827"/>
                <w:sz w:val="17"/>
              </w:rPr>
              <w:t>11. Candidate consent and covenant</w:t>
            </w:r>
          </w:p>
        </w:tc>
        <w:tc>
          <w:tcPr>
            <w:tcW w:type="dxa" w:w="6696"/>
            <w:vAlign w:val="center"/>
          </w:tcPr>
          <w:p>
            <w:r/>
            <w:r>
              <w:rPr>
                <w:b w:val="0"/>
                <w:color w:val="111827"/>
                <w:sz w:val="17"/>
              </w:rPr>
              <w:t>Candidate accepts the ministerial covenant, scope, accountability, and standing requirements.</w:t>
            </w:r>
          </w:p>
        </w:tc>
      </w:tr>
      <w:tr>
        <w:trPr>
          <w:cantSplit/>
        </w:trPr>
        <w:tc>
          <w:tcPr>
            <w:tcW w:type="dxa" w:w="3240"/>
            <w:vAlign w:val="center"/>
          </w:tcPr>
          <w:p>
            <w:r/>
            <w:r>
              <w:rPr>
                <w:b w:val="0"/>
                <w:color w:val="111827"/>
                <w:sz w:val="17"/>
              </w:rPr>
              <w:t>12. Ordination rite</w:t>
            </w:r>
          </w:p>
        </w:tc>
        <w:tc>
          <w:tcPr>
            <w:tcW w:type="dxa" w:w="6696"/>
            <w:vAlign w:val="center"/>
          </w:tcPr>
          <w:p>
            <w:r/>
            <w:r>
              <w:rPr>
                <w:b w:val="0"/>
                <w:color w:val="111827"/>
                <w:sz w:val="17"/>
              </w:rPr>
              <w:t>Ordination is conducted according to CH-011 and the authorized liturgical form.</w:t>
            </w:r>
          </w:p>
        </w:tc>
      </w:tr>
      <w:tr>
        <w:trPr>
          <w:cantSplit/>
        </w:trPr>
        <w:tc>
          <w:tcPr>
            <w:tcW w:type="dxa" w:w="3240"/>
            <w:vAlign w:val="center"/>
          </w:tcPr>
          <w:p>
            <w:r/>
            <w:r>
              <w:rPr>
                <w:b w:val="0"/>
                <w:color w:val="111827"/>
                <w:sz w:val="17"/>
              </w:rPr>
              <w:t>13. Registry and credential issue</w:t>
            </w:r>
          </w:p>
        </w:tc>
        <w:tc>
          <w:tcPr>
            <w:tcW w:type="dxa" w:w="6696"/>
            <w:vAlign w:val="center"/>
          </w:tcPr>
          <w:p>
            <w:r/>
            <w:r>
              <w:rPr>
                <w:b w:val="0"/>
                <w:color w:val="111827"/>
                <w:sz w:val="17"/>
              </w:rPr>
              <w:t>Canonical credential record and unique identifier are created; certificate is issued.</w:t>
            </w:r>
          </w:p>
        </w:tc>
      </w:tr>
      <w:tr>
        <w:trPr>
          <w:cantSplit/>
        </w:trPr>
        <w:tc>
          <w:tcPr>
            <w:tcW w:type="dxa" w:w="3240"/>
            <w:vAlign w:val="center"/>
          </w:tcPr>
          <w:p>
            <w:r/>
            <w:r>
              <w:rPr>
                <w:b w:val="0"/>
                <w:color w:val="111827"/>
                <w:sz w:val="17"/>
              </w:rPr>
              <w:t>14. Assignment/office action</w:t>
            </w:r>
          </w:p>
        </w:tc>
        <w:tc>
          <w:tcPr>
            <w:tcW w:type="dxa" w:w="6696"/>
            <w:vAlign w:val="center"/>
          </w:tcPr>
          <w:p>
            <w:r/>
            <w:r>
              <w:rPr>
                <w:b w:val="0"/>
                <w:color w:val="111827"/>
                <w:sz w:val="17"/>
              </w:rPr>
              <w:t>Any office, employment, or ministry assignment is documented separately.</w:t>
            </w:r>
          </w:p>
        </w:tc>
      </w:tr>
      <w:tr>
        <w:trPr>
          <w:cantSplit/>
        </w:trPr>
        <w:tc>
          <w:tcPr>
            <w:tcW w:type="dxa" w:w="3240"/>
            <w:vAlign w:val="center"/>
          </w:tcPr>
          <w:p>
            <w:r/>
            <w:r>
              <w:rPr>
                <w:b w:val="0"/>
                <w:color w:val="111827"/>
                <w:sz w:val="17"/>
              </w:rPr>
              <w:t>15. Post-ordination review date</w:t>
            </w:r>
          </w:p>
        </w:tc>
        <w:tc>
          <w:tcPr>
            <w:tcW w:type="dxa" w:w="6696"/>
            <w:vAlign w:val="center"/>
          </w:tcPr>
          <w:p>
            <w:r/>
            <w:r>
              <w:rPr>
                <w:b w:val="0"/>
                <w:color w:val="111827"/>
                <w:sz w:val="17"/>
              </w:rPr>
              <w:t>Registrar calendars first standing/formation review.</w:t>
            </w:r>
          </w:p>
        </w:tc>
      </w:tr>
    </w:tbl>
    <w:p/>
    <w:p>
      <w:pPr>
        <w:pStyle w:val="Heading1"/>
        <w:keepNext/>
      </w:pPr>
      <w:r>
        <w:t>3. Decision Outcomes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2937"/>
            <w:vAlign w:val="center"/>
          </w:tcPr>
          <w:p>
            <w:r/>
            <w:r>
              <w:rPr>
                <w:b/>
                <w:color w:val="FFFFFF"/>
                <w:sz w:val="18"/>
              </w:rPr>
              <w:t>Outcome</w:t>
            </w:r>
          </w:p>
        </w:tc>
        <w:tc>
          <w:tcPr>
            <w:tcW w:type="dxa" w:w="7056"/>
            <w:shd w:fill="1F2937"/>
            <w:vAlign w:val="center"/>
          </w:tcPr>
          <w:p>
            <w:r/>
            <w:r>
              <w:rPr>
                <w:b/>
                <w:color w:val="FFFFFF"/>
                <w:sz w:val="18"/>
              </w:rPr>
              <w:t>Effect</w:t>
            </w:r>
          </w:p>
        </w:tc>
      </w:tr>
      <w:tr>
        <w:trPr>
          <w:cantSplit/>
        </w:trPr>
        <w:tc>
          <w:tcPr>
            <w:tcW w:type="dxa" w:w="2880"/>
            <w:vAlign w:val="center"/>
          </w:tcPr>
          <w:p>
            <w:r/>
            <w:r>
              <w:rPr>
                <w:b w:val="0"/>
                <w:color w:val="111827"/>
                <w:sz w:val="17"/>
              </w:rPr>
              <w:t>Approved</w:t>
            </w:r>
          </w:p>
        </w:tc>
        <w:tc>
          <w:tcPr>
            <w:tcW w:type="dxa" w:w="7056"/>
            <w:vAlign w:val="center"/>
          </w:tcPr>
          <w:p>
            <w:r/>
            <w:r>
              <w:rPr>
                <w:b w:val="0"/>
                <w:color w:val="111827"/>
                <w:sz w:val="17"/>
              </w:rPr>
              <w:t>Candidate proceeds to ordination and registry entry.</w:t>
            </w:r>
          </w:p>
        </w:tc>
      </w:tr>
      <w:tr>
        <w:trPr>
          <w:cantSplit/>
        </w:trPr>
        <w:tc>
          <w:tcPr>
            <w:tcW w:type="dxa" w:w="2880"/>
            <w:vAlign w:val="center"/>
          </w:tcPr>
          <w:p>
            <w:r/>
            <w:r>
              <w:rPr>
                <w:b w:val="0"/>
                <w:color w:val="111827"/>
                <w:sz w:val="17"/>
              </w:rPr>
              <w:t>Approved with Conditions</w:t>
            </w:r>
          </w:p>
        </w:tc>
        <w:tc>
          <w:tcPr>
            <w:tcW w:type="dxa" w:w="7056"/>
            <w:vAlign w:val="center"/>
          </w:tcPr>
          <w:p>
            <w:r/>
            <w:r>
              <w:rPr>
                <w:b w:val="0"/>
                <w:color w:val="111827"/>
                <w:sz w:val="17"/>
              </w:rPr>
              <w:t>Ordination may proceed only if conditions are compatible with the credential and explicitly recorded.</w:t>
            </w:r>
          </w:p>
        </w:tc>
      </w:tr>
      <w:tr>
        <w:trPr>
          <w:cantSplit/>
        </w:trPr>
        <w:tc>
          <w:tcPr>
            <w:tcW w:type="dxa" w:w="2880"/>
            <w:vAlign w:val="center"/>
          </w:tcPr>
          <w:p>
            <w:r/>
            <w:r>
              <w:rPr>
                <w:b w:val="0"/>
                <w:color w:val="111827"/>
                <w:sz w:val="17"/>
              </w:rPr>
              <w:t>Deferred / Remediation</w:t>
            </w:r>
          </w:p>
        </w:tc>
        <w:tc>
          <w:tcPr>
            <w:tcW w:type="dxa" w:w="7056"/>
            <w:vAlign w:val="center"/>
          </w:tcPr>
          <w:p>
            <w:r/>
            <w:r>
              <w:rPr>
                <w:b w:val="0"/>
                <w:color w:val="111827"/>
                <w:sz w:val="17"/>
              </w:rPr>
              <w:t>Candidate remains in formation and receives written deficiencies and a reevaluation path.</w:t>
            </w:r>
          </w:p>
        </w:tc>
      </w:tr>
      <w:tr>
        <w:trPr>
          <w:cantSplit/>
        </w:trPr>
        <w:tc>
          <w:tcPr>
            <w:tcW w:type="dxa" w:w="2880"/>
            <w:vAlign w:val="center"/>
          </w:tcPr>
          <w:p>
            <w:r/>
            <w:r>
              <w:rPr>
                <w:b w:val="0"/>
                <w:color w:val="111827"/>
                <w:sz w:val="17"/>
              </w:rPr>
              <w:t>Denied</w:t>
            </w:r>
          </w:p>
        </w:tc>
        <w:tc>
          <w:tcPr>
            <w:tcW w:type="dxa" w:w="7056"/>
            <w:vAlign w:val="center"/>
          </w:tcPr>
          <w:p>
            <w:r/>
            <w:r>
              <w:rPr>
                <w:b w:val="0"/>
                <w:color w:val="111827"/>
                <w:sz w:val="17"/>
              </w:rPr>
              <w:t>Candidate is not ordained; principal reasons and any reapplication path are documented.</w:t>
            </w:r>
          </w:p>
        </w:tc>
      </w:tr>
    </w:tbl>
    <w:p/>
    <w:p>
      <w:pPr>
        <w:pStyle w:val="Heading1"/>
        <w:keepNext/>
      </w:pPr>
      <w:r>
        <w:t>4. Ordination Record Packet</w:t>
      </w:r>
    </w:p>
    <w:p>
      <w:pPr>
        <w:pStyle w:val="ListBullet"/>
        <w:keepLines/>
      </w:pPr>
      <w:r>
        <w:t>Candidate application and identity verification.</w:t>
      </w:r>
    </w:p>
    <w:p>
      <w:pPr>
        <w:pStyle w:val="ListBullet"/>
        <w:keepLines/>
      </w:pPr>
      <w:r>
        <w:t>Course-of-study transcript/ledger.</w:t>
      </w:r>
    </w:p>
    <w:p>
      <w:pPr>
        <w:pStyle w:val="ListBullet"/>
        <w:keepLines/>
      </w:pPr>
      <w:r>
        <w:t>Practicum log and supervisor evaluation.</w:t>
      </w:r>
    </w:p>
    <w:p>
      <w:pPr>
        <w:pStyle w:val="ListBullet"/>
        <w:keepLines/>
      </w:pPr>
      <w:r>
        <w:t>Written/oral/practical examination records.</w:t>
      </w:r>
    </w:p>
    <w:p>
      <w:pPr>
        <w:pStyle w:val="ListBullet"/>
        <w:keepLines/>
      </w:pPr>
      <w:r>
        <w:t>Safeguarding/background-review record as permitted by privacy law.</w:t>
      </w:r>
    </w:p>
    <w:p>
      <w:pPr>
        <w:pStyle w:val="ListBullet"/>
        <w:keepLines/>
      </w:pPr>
      <w:r>
        <w:t>Credentialing-panel recommendation and vote.</w:t>
      </w:r>
    </w:p>
    <w:p>
      <w:pPr>
        <w:pStyle w:val="ListBullet"/>
        <w:keepLines/>
      </w:pPr>
      <w:r>
        <w:t>Ecclesiastical Council action.</w:t>
      </w:r>
    </w:p>
    <w:p>
      <w:pPr>
        <w:pStyle w:val="ListBullet"/>
        <w:keepLines/>
      </w:pPr>
      <w:r>
        <w:t>Signed ministerial covenant.</w:t>
      </w:r>
    </w:p>
    <w:p>
      <w:pPr>
        <w:pStyle w:val="ListBullet"/>
        <w:keepLines/>
      </w:pPr>
      <w:r>
        <w:t>Ordination rite record and date/location.</w:t>
      </w:r>
    </w:p>
    <w:p>
      <w:pPr>
        <w:pStyle w:val="ListBullet"/>
        <w:keepLines/>
      </w:pPr>
      <w:r>
        <w:t>Credential registry entry and certificate copy.</w:t>
      </w:r>
    </w:p>
    <w:p>
      <w:pPr>
        <w:pStyle w:val="ListBullet"/>
        <w:keepLines/>
      </w:pPr>
      <w:r>
        <w:t>Initial office/assignment instrument, if any.</w:t>
      </w:r>
    </w:p>
    <w:p>
      <w:pPr>
        <w:pStyle w:val="Heading1"/>
        <w:keepNext/>
      </w:pPr>
      <w:r>
        <w:t>5. Extraordinary / Founding Cases</w:t>
      </w:r>
    </w:p>
    <w:p>
      <w:pPr>
        <w:keepLines/>
      </w:pPr>
      <w:r>
        <w:t>Founding ministers necessary to establish the institution may receive documented transitional recognition only under MIN-001. Any such recognition must state its transitional basis and shall enter the mature review system once ordinary credentialing institutions operate. Founder status alone is not a substitute for ordination.</w:t>
      </w:r>
    </w:p>
    <w:p>
      <w:pPr>
        <w:pStyle w:val="Heading1"/>
        <w:keepNext/>
      </w:pPr>
      <w:r>
        <w:t>Adoption and Certification</w:t>
      </w:r>
    </w:p>
    <w:p>
      <w:pPr>
        <w:keepLines/>
      </w:pPr>
      <w:r>
        <w:t>This instrument becomes effective only upon valid adoption by the competent ecclesiastical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2937"/>
            <w:vAlign w:val="center"/>
          </w:tcPr>
          <w:p>
            <w:r/>
            <w:r>
              <w:rPr>
                <w:b/>
                <w:color w:val="FFFFFF"/>
                <w:sz w:val="18"/>
              </w:rPr>
              <w:t>Field</w:t>
            </w:r>
          </w:p>
        </w:tc>
        <w:tc>
          <w:tcPr>
            <w:tcW w:type="dxa" w:w="6624"/>
            <w:shd w:fill="1F2937"/>
            <w:vAlign w:val="center"/>
          </w:tcPr>
          <w:p>
            <w:r/>
            <w:r>
              <w:rPr>
                <w:b/>
                <w:color w:val="FFFFFF"/>
                <w:sz w:val="18"/>
              </w:rPr>
              <w:t>Entry</w:t>
            </w:r>
          </w:p>
        </w:tc>
      </w:tr>
      <w:tr>
        <w:trPr>
          <w:cantSplit/>
        </w:trPr>
        <w:tc>
          <w:tcPr>
            <w:tcW w:type="dxa" w:w="3168"/>
            <w:vAlign w:val="center"/>
          </w:tcPr>
          <w:p>
            <w:r/>
            <w:r>
              <w:rPr>
                <w:b w:val="0"/>
                <w:color w:val="111827"/>
                <w:sz w:val="17"/>
              </w:rPr>
              <w:t>Corporation / Religious Body</w:t>
            </w:r>
          </w:p>
        </w:tc>
        <w:tc>
          <w:tcPr>
            <w:tcW w:type="dxa" w:w="6624"/>
            <w:vAlign w:val="center"/>
          </w:tcPr>
          <w:p>
            <w:r/>
            <w:r>
              <w:rPr>
                <w:b w:val="0"/>
                <w:color w:val="111827"/>
                <w:sz w:val="17"/>
              </w:rPr>
              <w:t>[[CORP_NAME]]</w:t>
            </w:r>
          </w:p>
        </w:tc>
      </w:tr>
      <w:tr>
        <w:trPr>
          <w:cantSplit/>
        </w:trPr>
        <w:tc>
          <w:tcPr>
            <w:tcW w:type="dxa" w:w="3168"/>
            <w:vAlign w:val="center"/>
          </w:tcPr>
          <w:p>
            <w:r/>
            <w:r>
              <w:rPr>
                <w:b w:val="0"/>
                <w:color w:val="111827"/>
                <w:sz w:val="17"/>
              </w:rPr>
              <w:t>Date of Adoption</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Adopting Authority</w:t>
            </w:r>
          </w:p>
        </w:tc>
        <w:tc>
          <w:tcPr>
            <w:tcW w:type="dxa" w:w="6624"/>
            <w:vAlign w:val="center"/>
          </w:tcPr>
          <w:p>
            <w:r/>
            <w:r>
              <w:rPr>
                <w:b w:val="0"/>
                <w:color w:val="111827"/>
                <w:sz w:val="17"/>
              </w:rPr>
              <w:t>[[ADOPTING_AUTHORITY]]</w:t>
            </w:r>
          </w:p>
        </w:tc>
      </w:tr>
      <w:tr>
        <w:trPr>
          <w:cantSplit/>
        </w:trPr>
        <w:tc>
          <w:tcPr>
            <w:tcW w:type="dxa" w:w="3168"/>
            <w:vAlign w:val="center"/>
          </w:tcPr>
          <w:p>
            <w:r/>
            <w:r>
              <w:rPr>
                <w:b w:val="0"/>
                <w:color w:val="111827"/>
                <w:sz w:val="17"/>
              </w:rPr>
              <w:t>Ecclesiastical Council Approval</w:t>
            </w:r>
          </w:p>
        </w:tc>
        <w:tc>
          <w:tcPr>
            <w:tcW w:type="dxa" w:w="6624"/>
            <w:vAlign w:val="center"/>
          </w:tcPr>
          <w:p>
            <w:r/>
            <w:r>
              <w:rPr>
                <w:b w:val="0"/>
                <w:color w:val="111827"/>
                <w:sz w:val="17"/>
              </w:rPr>
              <w:t>[[APPROVAL_RECORD]]</w:t>
            </w:r>
          </w:p>
        </w:tc>
      </w:tr>
      <w:tr>
        <w:trPr>
          <w:cantSplit/>
        </w:trPr>
        <w:tc>
          <w:tcPr>
            <w:tcW w:type="dxa" w:w="3168"/>
            <w:vAlign w:val="center"/>
          </w:tcPr>
          <w:p>
            <w:r/>
            <w:r>
              <w:rPr>
                <w:b w:val="0"/>
                <w:color w:val="111827"/>
                <w:sz w:val="17"/>
              </w:rPr>
              <w:t>Version</w:t>
            </w:r>
          </w:p>
        </w:tc>
        <w:tc>
          <w:tcPr>
            <w:tcW w:type="dxa" w:w="6624"/>
            <w:vAlign w:val="center"/>
          </w:tcPr>
          <w:p>
            <w:r/>
            <w:r>
              <w:rPr>
                <w:b w:val="0"/>
                <w:color w:val="111827"/>
                <w:sz w:val="17"/>
              </w:rPr>
              <w:t>0.1.0</w:t>
            </w:r>
          </w:p>
        </w:tc>
      </w:tr>
    </w:tbl>
    <w:p/>
    <w:p>
      <w:pPr>
        <w:keepLines/>
      </w:pPr>
      <w:r>
        <w:t>Certification</w:t>
      </w:r>
    </w:p>
    <w:p>
      <w:pPr>
        <w:keepLines/>
      </w:pPr>
      <w:r>
        <w:t>I certify that the foregoing instrument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[[CORP_NAME]]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CH-027 | Ordination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