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Ministerial Formation Program</w:t>
      </w:r>
    </w:p>
    <w:p>
      <w:pPr>
        <w:jc w:val="center"/>
      </w:pPr>
      <w:r>
        <w:rPr>
          <w:i/>
          <w:color w:val="475569"/>
          <w:sz w:val="24"/>
        </w:rPr>
        <w:t>Integrated formation, practicum, examination, ordination readiness, and continuing development</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CH-033</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Program Purpose</w:t>
      </w:r>
    </w:p>
    <w:p>
      <w:pPr>
        <w:keepLines/>
      </w:pPr>
      <w:r>
        <w:t>The Ministerial Formation Program is the operational system that turns CH-026 coursework into demonstrated ministerial fitness. It integrates academic learning, spiritual formation, ethical development, supervised practice, safeguarding, governance literacy, examinations, and community discernment.</w:t>
      </w:r>
    </w:p>
    <w:p>
      <w:pPr>
        <w:pStyle w:val="Heading1"/>
        <w:keepNext/>
      </w:pPr>
      <w:r>
        <w:t>2. Formation Stages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1F2937"/>
            <w:vAlign w:val="center"/>
          </w:tcPr>
          <w:p>
            <w:r/>
            <w:r>
              <w:rPr>
                <w:b/>
                <w:color w:val="FFFFFF"/>
                <w:sz w:val="18"/>
              </w:rPr>
              <w:t>Stage</w:t>
            </w:r>
          </w:p>
        </w:tc>
        <w:tc>
          <w:tcPr>
            <w:tcW w:type="dxa" w:w="1872"/>
            <w:shd w:fill="1F2937"/>
            <w:vAlign w:val="center"/>
          </w:tcPr>
          <w:p>
            <w:r/>
            <w:r>
              <w:rPr>
                <w:b/>
                <w:color w:val="FFFFFF"/>
                <w:sz w:val="18"/>
              </w:rPr>
              <w:t>Status</w:t>
            </w:r>
          </w:p>
        </w:tc>
        <w:tc>
          <w:tcPr>
            <w:tcW w:type="dxa" w:w="4320"/>
            <w:shd w:fill="1F2937"/>
            <w:vAlign w:val="center"/>
          </w:tcPr>
          <w:p>
            <w:r/>
            <w:r>
              <w:rPr>
                <w:b/>
                <w:color w:val="FFFFFF"/>
                <w:sz w:val="18"/>
              </w:rPr>
              <w:t>Primary Work</w:t>
            </w:r>
          </w:p>
        </w:tc>
        <w:tc>
          <w:tcPr>
            <w:tcW w:type="dxa" w:w="2304"/>
            <w:shd w:fill="1F2937"/>
            <w:vAlign w:val="center"/>
          </w:tcPr>
          <w:p>
            <w:r/>
            <w:r>
              <w:rPr>
                <w:b/>
                <w:color w:val="FFFFFF"/>
                <w:sz w:val="18"/>
              </w:rPr>
              <w:t>Exit Gate</w:t>
            </w:r>
          </w:p>
        </w:tc>
      </w:tr>
      <w:tr>
        <w:trPr>
          <w:cantSplit/>
        </w:trPr>
        <w:tc>
          <w:tcPr>
            <w:tcW w:type="dxa" w:w="1872"/>
            <w:vAlign w:val="center"/>
          </w:tcPr>
          <w:p>
            <w:r/>
            <w:r>
              <w:rPr>
                <w:b w:val="0"/>
                <w:color w:val="111827"/>
                <w:sz w:val="17"/>
              </w:rPr>
              <w:t>0 - Discernment</w:t>
            </w:r>
          </w:p>
        </w:tc>
        <w:tc>
          <w:tcPr>
            <w:tcW w:type="dxa" w:w="1872"/>
            <w:vAlign w:val="center"/>
          </w:tcPr>
          <w:p>
            <w:r/>
            <w:r>
              <w:rPr>
                <w:b w:val="0"/>
                <w:color w:val="111827"/>
                <w:sz w:val="17"/>
              </w:rPr>
              <w:t>Aspirant</w:t>
            </w:r>
          </w:p>
        </w:tc>
        <w:tc>
          <w:tcPr>
            <w:tcW w:type="dxa" w:w="4320"/>
            <w:vAlign w:val="center"/>
          </w:tcPr>
          <w:p>
            <w:r/>
            <w:r>
              <w:rPr>
                <w:b w:val="0"/>
                <w:color w:val="111827"/>
                <w:sz w:val="17"/>
              </w:rPr>
              <w:t>Orientation, vocation reflection, introductory service</w:t>
            </w:r>
          </w:p>
        </w:tc>
        <w:tc>
          <w:tcPr>
            <w:tcW w:type="dxa" w:w="2304"/>
            <w:vAlign w:val="center"/>
          </w:tcPr>
          <w:p>
            <w:r/>
            <w:r>
              <w:rPr>
                <w:b w:val="0"/>
                <w:color w:val="111827"/>
                <w:sz w:val="17"/>
              </w:rPr>
              <w:t>Application to candidacy</w:t>
            </w:r>
          </w:p>
        </w:tc>
      </w:tr>
      <w:tr>
        <w:trPr>
          <w:cantSplit/>
        </w:trPr>
        <w:tc>
          <w:tcPr>
            <w:tcW w:type="dxa" w:w="1872"/>
            <w:vAlign w:val="center"/>
          </w:tcPr>
          <w:p>
            <w:r/>
            <w:r>
              <w:rPr>
                <w:b w:val="0"/>
                <w:color w:val="111827"/>
                <w:sz w:val="17"/>
              </w:rPr>
              <w:t>1 - Foundations</w:t>
            </w:r>
          </w:p>
        </w:tc>
        <w:tc>
          <w:tcPr>
            <w:tcW w:type="dxa" w:w="1872"/>
            <w:vAlign w:val="center"/>
          </w:tcPr>
          <w:p>
            <w:r/>
            <w:r>
              <w:rPr>
                <w:b w:val="0"/>
                <w:color w:val="111827"/>
                <w:sz w:val="17"/>
              </w:rPr>
              <w:t>Candidate</w:t>
            </w:r>
          </w:p>
        </w:tc>
        <w:tc>
          <w:tcPr>
            <w:tcW w:type="dxa" w:w="4320"/>
            <w:vAlign w:val="center"/>
          </w:tcPr>
          <w:p>
            <w:r/>
            <w:r>
              <w:rPr>
                <w:b w:val="0"/>
                <w:color w:val="111827"/>
                <w:sz w:val="17"/>
              </w:rPr>
              <w:t>Core courses, membership/constitutional formation, safeguarding</w:t>
            </w:r>
          </w:p>
        </w:tc>
        <w:tc>
          <w:tcPr>
            <w:tcW w:type="dxa" w:w="2304"/>
            <w:vAlign w:val="center"/>
          </w:tcPr>
          <w:p>
            <w:r/>
            <w:r>
              <w:rPr>
                <w:b w:val="0"/>
                <w:color w:val="111827"/>
                <w:sz w:val="17"/>
              </w:rPr>
              <w:t>Foundations review</w:t>
            </w:r>
          </w:p>
        </w:tc>
      </w:tr>
      <w:tr>
        <w:trPr>
          <w:cantSplit/>
        </w:trPr>
        <w:tc>
          <w:tcPr>
            <w:tcW w:type="dxa" w:w="1872"/>
            <w:vAlign w:val="center"/>
          </w:tcPr>
          <w:p>
            <w:r/>
            <w:r>
              <w:rPr>
                <w:b w:val="0"/>
                <w:color w:val="111827"/>
                <w:sz w:val="17"/>
              </w:rPr>
              <w:t>2 - Applied Formation</w:t>
            </w:r>
          </w:p>
        </w:tc>
        <w:tc>
          <w:tcPr>
            <w:tcW w:type="dxa" w:w="1872"/>
            <w:vAlign w:val="center"/>
          </w:tcPr>
          <w:p>
            <w:r/>
            <w:r>
              <w:rPr>
                <w:b w:val="0"/>
                <w:color w:val="111827"/>
                <w:sz w:val="17"/>
              </w:rPr>
              <w:t>Candidate</w:t>
            </w:r>
          </w:p>
        </w:tc>
        <w:tc>
          <w:tcPr>
            <w:tcW w:type="dxa" w:w="4320"/>
            <w:vAlign w:val="center"/>
          </w:tcPr>
          <w:p>
            <w:r/>
            <w:r>
              <w:rPr>
                <w:b w:val="0"/>
                <w:color w:val="111827"/>
                <w:sz w:val="17"/>
              </w:rPr>
              <w:t>Advanced courses, observed teaching/worship, pastoral skills</w:t>
            </w:r>
          </w:p>
        </w:tc>
        <w:tc>
          <w:tcPr>
            <w:tcW w:type="dxa" w:w="2304"/>
            <w:vAlign w:val="center"/>
          </w:tcPr>
          <w:p>
            <w:r/>
            <w:r>
              <w:rPr>
                <w:b w:val="0"/>
                <w:color w:val="111827"/>
                <w:sz w:val="17"/>
              </w:rPr>
              <w:t>Practicum authorization</w:t>
            </w:r>
          </w:p>
        </w:tc>
      </w:tr>
      <w:tr>
        <w:trPr>
          <w:cantSplit/>
        </w:trPr>
        <w:tc>
          <w:tcPr>
            <w:tcW w:type="dxa" w:w="1872"/>
            <w:vAlign w:val="center"/>
          </w:tcPr>
          <w:p>
            <w:r/>
            <w:r>
              <w:rPr>
                <w:b w:val="0"/>
                <w:color w:val="111827"/>
                <w:sz w:val="17"/>
              </w:rPr>
              <w:t>3 - Supervised Ministry</w:t>
            </w:r>
          </w:p>
        </w:tc>
        <w:tc>
          <w:tcPr>
            <w:tcW w:type="dxa" w:w="1872"/>
            <w:vAlign w:val="center"/>
          </w:tcPr>
          <w:p>
            <w:r/>
            <w:r>
              <w:rPr>
                <w:b w:val="0"/>
                <w:color w:val="111827"/>
                <w:sz w:val="17"/>
              </w:rPr>
              <w:t>Candidate / License-eligible</w:t>
            </w:r>
          </w:p>
        </w:tc>
        <w:tc>
          <w:tcPr>
            <w:tcW w:type="dxa" w:w="4320"/>
            <w:vAlign w:val="center"/>
          </w:tcPr>
          <w:p>
            <w:r/>
            <w:r>
              <w:rPr>
                <w:b w:val="0"/>
                <w:color w:val="111827"/>
                <w:sz w:val="17"/>
              </w:rPr>
              <w:t>Substantial supervised ministry with feedback</w:t>
            </w:r>
          </w:p>
        </w:tc>
        <w:tc>
          <w:tcPr>
            <w:tcW w:type="dxa" w:w="2304"/>
            <w:vAlign w:val="center"/>
          </w:tcPr>
          <w:p>
            <w:r/>
            <w:r>
              <w:rPr>
                <w:b w:val="0"/>
                <w:color w:val="111827"/>
                <w:sz w:val="17"/>
              </w:rPr>
              <w:t>Supervisor competency signoff</w:t>
            </w:r>
          </w:p>
        </w:tc>
      </w:tr>
      <w:tr>
        <w:trPr>
          <w:cantSplit/>
        </w:trPr>
        <w:tc>
          <w:tcPr>
            <w:tcW w:type="dxa" w:w="1872"/>
            <w:vAlign w:val="center"/>
          </w:tcPr>
          <w:p>
            <w:r/>
            <w:r>
              <w:rPr>
                <w:b w:val="0"/>
                <w:color w:val="111827"/>
                <w:sz w:val="17"/>
              </w:rPr>
              <w:t>4 - Integrative Examination</w:t>
            </w:r>
          </w:p>
        </w:tc>
        <w:tc>
          <w:tcPr>
            <w:tcW w:type="dxa" w:w="1872"/>
            <w:vAlign w:val="center"/>
          </w:tcPr>
          <w:p>
            <w:r/>
            <w:r>
              <w:rPr>
                <w:b w:val="0"/>
                <w:color w:val="111827"/>
                <w:sz w:val="17"/>
              </w:rPr>
              <w:t>Candidate</w:t>
            </w:r>
          </w:p>
        </w:tc>
        <w:tc>
          <w:tcPr>
            <w:tcW w:type="dxa" w:w="4320"/>
            <w:vAlign w:val="center"/>
          </w:tcPr>
          <w:p>
            <w:r/>
            <w:r>
              <w:rPr>
                <w:b w:val="0"/>
                <w:color w:val="111827"/>
                <w:sz w:val="17"/>
              </w:rPr>
              <w:t>Capstone, written/oral/practical examinations</w:t>
            </w:r>
          </w:p>
        </w:tc>
        <w:tc>
          <w:tcPr>
            <w:tcW w:type="dxa" w:w="2304"/>
            <w:vAlign w:val="center"/>
          </w:tcPr>
          <w:p>
            <w:r/>
            <w:r>
              <w:rPr>
                <w:b w:val="0"/>
                <w:color w:val="111827"/>
                <w:sz w:val="17"/>
              </w:rPr>
              <w:t>Credentialing-panel recommendation</w:t>
            </w:r>
          </w:p>
        </w:tc>
      </w:tr>
      <w:tr>
        <w:trPr>
          <w:cantSplit/>
        </w:trPr>
        <w:tc>
          <w:tcPr>
            <w:tcW w:type="dxa" w:w="1872"/>
            <w:vAlign w:val="center"/>
          </w:tcPr>
          <w:p>
            <w:r/>
            <w:r>
              <w:rPr>
                <w:b w:val="0"/>
                <w:color w:val="111827"/>
                <w:sz w:val="17"/>
              </w:rPr>
              <w:t>5 - Credential / Ordination</w:t>
            </w:r>
          </w:p>
        </w:tc>
        <w:tc>
          <w:tcPr>
            <w:tcW w:type="dxa" w:w="1872"/>
            <w:vAlign w:val="center"/>
          </w:tcPr>
          <w:p>
            <w:r/>
            <w:r>
              <w:rPr>
                <w:b w:val="0"/>
                <w:color w:val="111827"/>
                <w:sz w:val="17"/>
              </w:rPr>
              <w:t>Licensed or Ordination Candidate</w:t>
            </w:r>
          </w:p>
        </w:tc>
        <w:tc>
          <w:tcPr>
            <w:tcW w:type="dxa" w:w="4320"/>
            <w:vAlign w:val="center"/>
          </w:tcPr>
          <w:p>
            <w:r/>
            <w:r>
              <w:rPr>
                <w:b w:val="0"/>
                <w:color w:val="111827"/>
                <w:sz w:val="17"/>
              </w:rPr>
              <w:t>Council action, covenant, rite, registry</w:t>
            </w:r>
          </w:p>
        </w:tc>
        <w:tc>
          <w:tcPr>
            <w:tcW w:type="dxa" w:w="2304"/>
            <w:vAlign w:val="center"/>
          </w:tcPr>
          <w:p>
            <w:r/>
            <w:r>
              <w:rPr>
                <w:b w:val="0"/>
                <w:color w:val="111827"/>
                <w:sz w:val="17"/>
              </w:rPr>
              <w:t>Credential issued</w:t>
            </w:r>
          </w:p>
        </w:tc>
      </w:tr>
      <w:tr>
        <w:trPr>
          <w:cantSplit/>
        </w:trPr>
        <w:tc>
          <w:tcPr>
            <w:tcW w:type="dxa" w:w="1872"/>
            <w:vAlign w:val="center"/>
          </w:tcPr>
          <w:p>
            <w:r/>
            <w:r>
              <w:rPr>
                <w:b w:val="0"/>
                <w:color w:val="111827"/>
                <w:sz w:val="17"/>
              </w:rPr>
              <w:t>6 - Continuing Formation</w:t>
            </w:r>
          </w:p>
        </w:tc>
        <w:tc>
          <w:tcPr>
            <w:tcW w:type="dxa" w:w="1872"/>
            <w:vAlign w:val="center"/>
          </w:tcPr>
          <w:p>
            <w:r/>
            <w:r>
              <w:rPr>
                <w:b w:val="0"/>
                <w:color w:val="111827"/>
                <w:sz w:val="17"/>
              </w:rPr>
              <w:t>Credentialed Minister</w:t>
            </w:r>
          </w:p>
        </w:tc>
        <w:tc>
          <w:tcPr>
            <w:tcW w:type="dxa" w:w="4320"/>
            <w:vAlign w:val="center"/>
          </w:tcPr>
          <w:p>
            <w:r/>
            <w:r>
              <w:rPr>
                <w:b w:val="0"/>
                <w:color w:val="111827"/>
                <w:sz w:val="17"/>
              </w:rPr>
              <w:t>Annual education, standing review, periodic deep review</w:t>
            </w:r>
          </w:p>
        </w:tc>
        <w:tc>
          <w:tcPr>
            <w:tcW w:type="dxa" w:w="2304"/>
            <w:vAlign w:val="center"/>
          </w:tcPr>
          <w:p>
            <w:r/>
            <w:r>
              <w:rPr>
                <w:b w:val="0"/>
                <w:color w:val="111827"/>
                <w:sz w:val="17"/>
              </w:rPr>
              <w:t>Continued active standing</w:t>
            </w:r>
          </w:p>
        </w:tc>
      </w:tr>
    </w:tbl>
    <w:p/>
    <w:p>
      <w:pPr>
        <w:pStyle w:val="Heading1"/>
        <w:keepNext/>
      </w:pPr>
      <w:r>
        <w:t>3. Ordination Formation Hour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12"/>
            <w:shd w:fill="1F2937"/>
            <w:vAlign w:val="center"/>
          </w:tcPr>
          <w:p>
            <w:r/>
            <w:r>
              <w:rPr>
                <w:b/>
                <w:color w:val="FFFFFF"/>
                <w:sz w:val="18"/>
              </w:rPr>
              <w:t>Component</w:t>
            </w:r>
          </w:p>
        </w:tc>
        <w:tc>
          <w:tcPr>
            <w:tcW w:type="dxa" w:w="1728"/>
            <w:shd w:fill="1F2937"/>
            <w:vAlign w:val="center"/>
          </w:tcPr>
          <w:p>
            <w:r/>
            <w:r>
              <w:rPr>
                <w:b/>
                <w:color w:val="FFFFFF"/>
                <w:sz w:val="18"/>
              </w:rPr>
              <w:t>Target Hours</w:t>
            </w:r>
          </w:p>
        </w:tc>
        <w:tc>
          <w:tcPr>
            <w:tcW w:type="dxa" w:w="5040"/>
            <w:shd w:fill="1F2937"/>
            <w:vAlign w:val="center"/>
          </w:tcPr>
          <w:p>
            <w:r/>
            <w:r>
              <w:rPr>
                <w:b/>
                <w:color w:val="FFFFFF"/>
                <w:sz w:val="18"/>
              </w:rPr>
              <w:t>Evidence</w:t>
            </w:r>
          </w:p>
        </w:tc>
      </w:tr>
      <w:tr>
        <w:trPr>
          <w:cantSplit/>
        </w:trPr>
        <w:tc>
          <w:tcPr>
            <w:tcW w:type="dxa" w:w="3312"/>
            <w:vAlign w:val="center"/>
          </w:tcPr>
          <w:p>
            <w:r/>
            <w:r>
              <w:rPr>
                <w:b w:val="0"/>
                <w:color w:val="111827"/>
                <w:sz w:val="17"/>
              </w:rPr>
              <w:t>Prescribed coursework</w:t>
            </w:r>
          </w:p>
        </w:tc>
        <w:tc>
          <w:tcPr>
            <w:tcW w:type="dxa" w:w="1728"/>
            <w:vAlign w:val="center"/>
          </w:tcPr>
          <w:p>
            <w:r/>
            <w:r>
              <w:rPr>
                <w:b w:val="0"/>
                <w:color w:val="111827"/>
                <w:sz w:val="17"/>
              </w:rPr>
              <w:t>360</w:t>
            </w:r>
          </w:p>
        </w:tc>
        <w:tc>
          <w:tcPr>
            <w:tcW w:type="dxa" w:w="5040"/>
            <w:vAlign w:val="center"/>
          </w:tcPr>
          <w:p>
            <w:r/>
            <w:r>
              <w:rPr>
                <w:b w:val="0"/>
                <w:color w:val="111827"/>
                <w:sz w:val="17"/>
              </w:rPr>
              <w:t>Course ledger, syllabi, assessments; 12 x approx. 30 hours</w:t>
            </w:r>
          </w:p>
        </w:tc>
      </w:tr>
      <w:tr>
        <w:trPr>
          <w:cantSplit/>
        </w:trPr>
        <w:tc>
          <w:tcPr>
            <w:tcW w:type="dxa" w:w="3312"/>
            <w:vAlign w:val="center"/>
          </w:tcPr>
          <w:p>
            <w:r/>
            <w:r>
              <w:rPr>
                <w:b w:val="0"/>
                <w:color w:val="111827"/>
                <w:sz w:val="17"/>
              </w:rPr>
              <w:t>Personal/spiritual formation</w:t>
            </w:r>
          </w:p>
        </w:tc>
        <w:tc>
          <w:tcPr>
            <w:tcW w:type="dxa" w:w="1728"/>
            <w:vAlign w:val="center"/>
          </w:tcPr>
          <w:p>
            <w:r/>
            <w:r>
              <w:rPr>
                <w:b w:val="0"/>
                <w:color w:val="111827"/>
                <w:sz w:val="17"/>
              </w:rPr>
              <w:t>80</w:t>
            </w:r>
          </w:p>
        </w:tc>
        <w:tc>
          <w:tcPr>
            <w:tcW w:type="dxa" w:w="5040"/>
            <w:vAlign w:val="center"/>
          </w:tcPr>
          <w:p>
            <w:r/>
            <w:r>
              <w:rPr>
                <w:b w:val="0"/>
                <w:color w:val="111827"/>
                <w:sz w:val="17"/>
              </w:rPr>
              <w:t>Formation plan, mentor reviews, reflective artifacts</w:t>
            </w:r>
          </w:p>
        </w:tc>
      </w:tr>
      <w:tr>
        <w:trPr>
          <w:cantSplit/>
        </w:trPr>
        <w:tc>
          <w:tcPr>
            <w:tcW w:type="dxa" w:w="3312"/>
            <w:vAlign w:val="center"/>
          </w:tcPr>
          <w:p>
            <w:r/>
            <w:r>
              <w:rPr>
                <w:b w:val="0"/>
                <w:color w:val="111827"/>
                <w:sz w:val="17"/>
              </w:rPr>
              <w:t>Supervised ministry practicum</w:t>
            </w:r>
          </w:p>
        </w:tc>
        <w:tc>
          <w:tcPr>
            <w:tcW w:type="dxa" w:w="1728"/>
            <w:vAlign w:val="center"/>
          </w:tcPr>
          <w:p>
            <w:r/>
            <w:r>
              <w:rPr>
                <w:b w:val="0"/>
                <w:color w:val="111827"/>
                <w:sz w:val="17"/>
              </w:rPr>
              <w:t>220</w:t>
            </w:r>
          </w:p>
        </w:tc>
        <w:tc>
          <w:tcPr>
            <w:tcW w:type="dxa" w:w="5040"/>
            <w:vAlign w:val="center"/>
          </w:tcPr>
          <w:p>
            <w:r/>
            <w:r>
              <w:rPr>
                <w:b w:val="0"/>
                <w:color w:val="111827"/>
                <w:sz w:val="17"/>
              </w:rPr>
              <w:t>Practicum log, supervisor observations, competency evaluations</w:t>
            </w:r>
          </w:p>
        </w:tc>
      </w:tr>
      <w:tr>
        <w:trPr>
          <w:cantSplit/>
        </w:trPr>
        <w:tc>
          <w:tcPr>
            <w:tcW w:type="dxa" w:w="3312"/>
            <w:vAlign w:val="center"/>
          </w:tcPr>
          <w:p>
            <w:r/>
            <w:r>
              <w:rPr>
                <w:b w:val="0"/>
                <w:color w:val="111827"/>
                <w:sz w:val="17"/>
              </w:rPr>
              <w:t>Integrative assessment</w:t>
            </w:r>
          </w:p>
        </w:tc>
        <w:tc>
          <w:tcPr>
            <w:tcW w:type="dxa" w:w="1728"/>
            <w:vAlign w:val="center"/>
          </w:tcPr>
          <w:p>
            <w:r/>
            <w:r>
              <w:rPr>
                <w:b w:val="0"/>
                <w:color w:val="111827"/>
                <w:sz w:val="17"/>
              </w:rPr>
              <w:t>60</w:t>
            </w:r>
          </w:p>
        </w:tc>
        <w:tc>
          <w:tcPr>
            <w:tcW w:type="dxa" w:w="5040"/>
            <w:vAlign w:val="center"/>
          </w:tcPr>
          <w:p>
            <w:r/>
            <w:r>
              <w:rPr>
                <w:b w:val="0"/>
                <w:color w:val="111827"/>
                <w:sz w:val="17"/>
              </w:rPr>
              <w:t>Capstone, written/oral/practical examinations</w:t>
            </w:r>
          </w:p>
        </w:tc>
      </w:tr>
      <w:tr>
        <w:trPr>
          <w:cantSplit/>
        </w:trPr>
        <w:tc>
          <w:tcPr>
            <w:tcW w:type="dxa" w:w="3312"/>
            <w:vAlign w:val="center"/>
          </w:tcPr>
          <w:p>
            <w:r/>
            <w:r>
              <w:rPr>
                <w:b w:val="0"/>
                <w:color w:val="111827"/>
                <w:sz w:val="17"/>
              </w:rPr>
              <w:t>Total internal planning target</w:t>
            </w:r>
          </w:p>
        </w:tc>
        <w:tc>
          <w:tcPr>
            <w:tcW w:type="dxa" w:w="1728"/>
            <w:vAlign w:val="center"/>
          </w:tcPr>
          <w:p>
            <w:r/>
            <w:r>
              <w:rPr>
                <w:b w:val="0"/>
                <w:color w:val="111827"/>
                <w:sz w:val="17"/>
              </w:rPr>
              <w:t>720</w:t>
            </w:r>
          </w:p>
        </w:tc>
        <w:tc>
          <w:tcPr>
            <w:tcW w:type="dxa" w:w="5040"/>
            <w:vAlign w:val="center"/>
          </w:tcPr>
          <w:p>
            <w:r/>
            <w:r>
              <w:rPr>
                <w:b w:val="0"/>
                <w:color w:val="111827"/>
                <w:sz w:val="17"/>
              </w:rPr>
              <w:t>No double counting of the same activity across components</w:t>
            </w:r>
          </w:p>
        </w:tc>
      </w:tr>
    </w:tbl>
    <w:p/>
    <w:p>
      <w:pPr>
        <w:keepLines/>
      </w:pPr>
      <w:r>
        <w:t>The hour model is an internal rigor standard, not a federal tax-law threshold. Individual pacing may vary, but competencies may not be waived merely to accelerate ordination.</w:t>
      </w:r>
    </w:p>
    <w:p>
      <w:pPr>
        <w:pStyle w:val="Heading1"/>
        <w:keepNext/>
      </w:pPr>
      <w:r>
        <w:t>4. Required Practicum Domains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Domain</w:t>
            </w:r>
          </w:p>
        </w:tc>
        <w:tc>
          <w:tcPr>
            <w:tcW w:type="dxa" w:w="7200"/>
            <w:shd w:fill="1F2937"/>
            <w:vAlign w:val="center"/>
          </w:tcPr>
          <w:p>
            <w:r/>
            <w:r>
              <w:rPr>
                <w:b/>
                <w:color w:val="FFFFFF"/>
                <w:sz w:val="18"/>
              </w:rPr>
              <w:t>Illustrative Minimum Evidence</w:t>
            </w:r>
          </w:p>
        </w:tc>
      </w:tr>
      <w:tr>
        <w:trPr>
          <w:cantSplit/>
        </w:trPr>
        <w:tc>
          <w:tcPr>
            <w:tcW w:type="dxa" w:w="2880"/>
            <w:vAlign w:val="center"/>
          </w:tcPr>
          <w:p>
            <w:r/>
            <w:r>
              <w:rPr>
                <w:b w:val="0"/>
                <w:color w:val="111827"/>
                <w:sz w:val="17"/>
              </w:rPr>
              <w:t>Worship leadership</w:t>
            </w:r>
          </w:p>
        </w:tc>
        <w:tc>
          <w:tcPr>
            <w:tcW w:type="dxa" w:w="7200"/>
            <w:vAlign w:val="center"/>
          </w:tcPr>
          <w:p>
            <w:r/>
            <w:r>
              <w:rPr>
                <w:b w:val="0"/>
                <w:color w:val="111827"/>
                <w:sz w:val="17"/>
              </w:rPr>
              <w:t>Plan and lead multiple complete services under observation</w:t>
            </w:r>
          </w:p>
        </w:tc>
      </w:tr>
      <w:tr>
        <w:trPr>
          <w:cantSplit/>
        </w:trPr>
        <w:tc>
          <w:tcPr>
            <w:tcW w:type="dxa" w:w="2880"/>
            <w:vAlign w:val="center"/>
          </w:tcPr>
          <w:p>
            <w:r/>
            <w:r>
              <w:rPr>
                <w:b w:val="0"/>
                <w:color w:val="111827"/>
                <w:sz w:val="17"/>
              </w:rPr>
              <w:t>Teaching</w:t>
            </w:r>
          </w:p>
        </w:tc>
        <w:tc>
          <w:tcPr>
            <w:tcW w:type="dxa" w:w="7200"/>
            <w:vAlign w:val="center"/>
          </w:tcPr>
          <w:p>
            <w:r/>
            <w:r>
              <w:rPr>
                <w:b w:val="0"/>
                <w:color w:val="111827"/>
                <w:sz w:val="17"/>
              </w:rPr>
              <w:t>Prepare and deliver lessons/sermons to different audiences; receive evaluation</w:t>
            </w:r>
          </w:p>
        </w:tc>
      </w:tr>
      <w:tr>
        <w:trPr>
          <w:cantSplit/>
        </w:trPr>
        <w:tc>
          <w:tcPr>
            <w:tcW w:type="dxa" w:w="2880"/>
            <w:vAlign w:val="center"/>
          </w:tcPr>
          <w:p>
            <w:r/>
            <w:r>
              <w:rPr>
                <w:b w:val="0"/>
                <w:color w:val="111827"/>
                <w:sz w:val="17"/>
              </w:rPr>
              <w:t>Pastoral care</w:t>
            </w:r>
          </w:p>
        </w:tc>
        <w:tc>
          <w:tcPr>
            <w:tcW w:type="dxa" w:w="7200"/>
            <w:vAlign w:val="center"/>
          </w:tcPr>
          <w:p>
            <w:r/>
            <w:r>
              <w:rPr>
                <w:b w:val="0"/>
                <w:color w:val="111827"/>
                <w:sz w:val="17"/>
              </w:rPr>
              <w:t>Supervised listening, visitation or simulations; referral and confidentiality competence</w:t>
            </w:r>
          </w:p>
        </w:tc>
      </w:tr>
      <w:tr>
        <w:trPr>
          <w:cantSplit/>
        </w:trPr>
        <w:tc>
          <w:tcPr>
            <w:tcW w:type="dxa" w:w="2880"/>
            <w:vAlign w:val="center"/>
          </w:tcPr>
          <w:p>
            <w:r/>
            <w:r>
              <w:rPr>
                <w:b w:val="0"/>
                <w:color w:val="111827"/>
                <w:sz w:val="17"/>
              </w:rPr>
              <w:t>Rites</w:t>
            </w:r>
          </w:p>
        </w:tc>
        <w:tc>
          <w:tcPr>
            <w:tcW w:type="dxa" w:w="7200"/>
            <w:vAlign w:val="center"/>
          </w:tcPr>
          <w:p>
            <w:r/>
            <w:r>
              <w:rPr>
                <w:b w:val="0"/>
                <w:color w:val="111827"/>
                <w:sz w:val="17"/>
              </w:rPr>
              <w:t>Observe, assist, and when authorized conduct rites with proper records</w:t>
            </w:r>
          </w:p>
        </w:tc>
      </w:tr>
      <w:tr>
        <w:trPr>
          <w:cantSplit/>
        </w:trPr>
        <w:tc>
          <w:tcPr>
            <w:tcW w:type="dxa" w:w="2880"/>
            <w:vAlign w:val="center"/>
          </w:tcPr>
          <w:p>
            <w:r/>
            <w:r>
              <w:rPr>
                <w:b w:val="0"/>
                <w:color w:val="111827"/>
                <w:sz w:val="17"/>
              </w:rPr>
              <w:t>Community administration</w:t>
            </w:r>
          </w:p>
        </w:tc>
        <w:tc>
          <w:tcPr>
            <w:tcW w:type="dxa" w:w="7200"/>
            <w:vAlign w:val="center"/>
          </w:tcPr>
          <w:p>
            <w:r/>
            <w:r>
              <w:rPr>
                <w:b w:val="0"/>
                <w:color w:val="111827"/>
                <w:sz w:val="17"/>
              </w:rPr>
              <w:t>Meeting preparation, records, volunteer coordination, communication</w:t>
            </w:r>
          </w:p>
        </w:tc>
      </w:tr>
      <w:tr>
        <w:trPr>
          <w:cantSplit/>
        </w:trPr>
        <w:tc>
          <w:tcPr>
            <w:tcW w:type="dxa" w:w="2880"/>
            <w:vAlign w:val="center"/>
          </w:tcPr>
          <w:p>
            <w:r/>
            <w:r>
              <w:rPr>
                <w:b w:val="0"/>
                <w:color w:val="111827"/>
                <w:sz w:val="17"/>
              </w:rPr>
              <w:t>Service / benevolence</w:t>
            </w:r>
          </w:p>
        </w:tc>
        <w:tc>
          <w:tcPr>
            <w:tcW w:type="dxa" w:w="7200"/>
            <w:vAlign w:val="center"/>
          </w:tcPr>
          <w:p>
            <w:r/>
            <w:r>
              <w:rPr>
                <w:b w:val="0"/>
                <w:color w:val="111827"/>
                <w:sz w:val="17"/>
              </w:rPr>
              <w:t>Participate in organized service with boundaries and documentation</w:t>
            </w:r>
          </w:p>
        </w:tc>
      </w:tr>
      <w:tr>
        <w:trPr>
          <w:cantSplit/>
        </w:trPr>
        <w:tc>
          <w:tcPr>
            <w:tcW w:type="dxa" w:w="2880"/>
            <w:vAlign w:val="center"/>
          </w:tcPr>
          <w:p>
            <w:r/>
            <w:r>
              <w:rPr>
                <w:b w:val="0"/>
                <w:color w:val="111827"/>
                <w:sz w:val="17"/>
              </w:rPr>
              <w:t>Governance</w:t>
            </w:r>
          </w:p>
        </w:tc>
        <w:tc>
          <w:tcPr>
            <w:tcW w:type="dxa" w:w="7200"/>
            <w:vAlign w:val="center"/>
          </w:tcPr>
          <w:p>
            <w:r/>
            <w:r>
              <w:rPr>
                <w:b w:val="0"/>
                <w:color w:val="111827"/>
                <w:sz w:val="17"/>
              </w:rPr>
              <w:t>Attend/observe appropriate ecclesiastical process; complete jurisdiction scenarios</w:t>
            </w:r>
          </w:p>
        </w:tc>
      </w:tr>
      <w:tr>
        <w:trPr>
          <w:cantSplit/>
        </w:trPr>
        <w:tc>
          <w:tcPr>
            <w:tcW w:type="dxa" w:w="2880"/>
            <w:vAlign w:val="center"/>
          </w:tcPr>
          <w:p>
            <w:r/>
            <w:r>
              <w:rPr>
                <w:b w:val="0"/>
                <w:color w:val="111827"/>
                <w:sz w:val="17"/>
              </w:rPr>
              <w:t>Safeguarding</w:t>
            </w:r>
          </w:p>
        </w:tc>
        <w:tc>
          <w:tcPr>
            <w:tcW w:type="dxa" w:w="7200"/>
            <w:vAlign w:val="center"/>
          </w:tcPr>
          <w:p>
            <w:r/>
            <w:r>
              <w:rPr>
                <w:b w:val="0"/>
                <w:color w:val="111827"/>
                <w:sz w:val="17"/>
              </w:rPr>
              <w:t>Demonstrate reporting, boundaries, incident escalation, and vulnerable-person protections</w:t>
            </w:r>
          </w:p>
        </w:tc>
      </w:tr>
    </w:tbl>
    <w:p/>
    <w:p>
      <w:pPr>
        <w:pStyle w:val="Heading1"/>
        <w:keepNext/>
      </w:pPr>
      <w:r>
        <w:t>5. Individual Formation Plan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F2937"/>
            <w:vAlign w:val="center"/>
          </w:tcPr>
          <w:p>
            <w:r/>
            <w:r>
              <w:rPr>
                <w:b/>
                <w:color w:val="FFFFFF"/>
                <w:sz w:val="18"/>
              </w:rPr>
              <w:t>Field</w:t>
            </w:r>
          </w:p>
        </w:tc>
        <w:tc>
          <w:tcPr>
            <w:tcW w:type="dxa" w:w="6480"/>
            <w:shd w:fill="1F2937"/>
            <w:vAlign w:val="center"/>
          </w:tcPr>
          <w:p>
            <w:r/>
            <w:r>
              <w:rPr>
                <w:b/>
                <w:color w:val="FFFFFF"/>
                <w:sz w:val="18"/>
              </w:rPr>
              <w:t>Required Entry</w:t>
            </w:r>
          </w:p>
        </w:tc>
      </w:tr>
      <w:tr>
        <w:trPr>
          <w:cantSplit/>
        </w:trPr>
        <w:tc>
          <w:tcPr>
            <w:tcW w:type="dxa" w:w="3456"/>
            <w:vAlign w:val="center"/>
          </w:tcPr>
          <w:p>
            <w:r/>
            <w:r>
              <w:rPr>
                <w:b w:val="0"/>
                <w:color w:val="111827"/>
                <w:sz w:val="17"/>
              </w:rPr>
              <w:t>Candidate</w:t>
            </w:r>
          </w:p>
        </w:tc>
        <w:tc>
          <w:tcPr>
            <w:tcW w:type="dxa" w:w="6480"/>
            <w:vAlign w:val="center"/>
          </w:tcPr>
          <w:p>
            <w:r/>
            <w:r>
              <w:rPr>
                <w:b w:val="0"/>
                <w:color w:val="111827"/>
                <w:sz w:val="17"/>
              </w:rPr>
              <w:t>[[NAME / ID]]</w:t>
            </w:r>
          </w:p>
        </w:tc>
      </w:tr>
      <w:tr>
        <w:trPr>
          <w:cantSplit/>
        </w:trPr>
        <w:tc>
          <w:tcPr>
            <w:tcW w:type="dxa" w:w="3456"/>
            <w:vAlign w:val="center"/>
          </w:tcPr>
          <w:p>
            <w:r/>
            <w:r>
              <w:rPr>
                <w:b w:val="0"/>
                <w:color w:val="111827"/>
                <w:sz w:val="17"/>
              </w:rPr>
              <w:t>Formation Start</w:t>
            </w:r>
          </w:p>
        </w:tc>
        <w:tc>
          <w:tcPr>
            <w:tcW w:type="dxa" w:w="6480"/>
            <w:vAlign w:val="center"/>
          </w:tcPr>
          <w:p>
            <w:r/>
            <w:r>
              <w:rPr>
                <w:b w:val="0"/>
                <w:color w:val="111827"/>
                <w:sz w:val="17"/>
              </w:rPr>
              <w:t>[[DATE]]</w:t>
            </w:r>
          </w:p>
        </w:tc>
      </w:tr>
      <w:tr>
        <w:trPr>
          <w:cantSplit/>
        </w:trPr>
        <w:tc>
          <w:tcPr>
            <w:tcW w:type="dxa" w:w="3456"/>
            <w:vAlign w:val="center"/>
          </w:tcPr>
          <w:p>
            <w:r/>
            <w:r>
              <w:rPr>
                <w:b w:val="0"/>
                <w:color w:val="111827"/>
                <w:sz w:val="17"/>
              </w:rPr>
              <w:t>Target Credential</w:t>
            </w:r>
          </w:p>
        </w:tc>
        <w:tc>
          <w:tcPr>
            <w:tcW w:type="dxa" w:w="6480"/>
            <w:vAlign w:val="center"/>
          </w:tcPr>
          <w:p>
            <w:r/>
            <w:r>
              <w:rPr>
                <w:b w:val="0"/>
                <w:color w:val="111827"/>
                <w:sz w:val="17"/>
              </w:rPr>
              <w:t>[[CLASS]]</w:t>
            </w:r>
          </w:p>
        </w:tc>
      </w:tr>
      <w:tr>
        <w:trPr>
          <w:cantSplit/>
        </w:trPr>
        <w:tc>
          <w:tcPr>
            <w:tcW w:type="dxa" w:w="3456"/>
            <w:vAlign w:val="center"/>
          </w:tcPr>
          <w:p>
            <w:r/>
            <w:r>
              <w:rPr>
                <w:b w:val="0"/>
                <w:color w:val="111827"/>
                <w:sz w:val="17"/>
              </w:rPr>
              <w:t>Prior Learning / Equivalencies</w:t>
            </w:r>
          </w:p>
        </w:tc>
        <w:tc>
          <w:tcPr>
            <w:tcW w:type="dxa" w:w="6480"/>
            <w:vAlign w:val="center"/>
          </w:tcPr>
          <w:p>
            <w:r/>
            <w:r>
              <w:rPr>
                <w:b w:val="0"/>
                <w:color w:val="111827"/>
                <w:sz w:val="17"/>
              </w:rPr>
              <w:t>[[DOCUMENTED]]</w:t>
            </w:r>
          </w:p>
        </w:tc>
      </w:tr>
      <w:tr>
        <w:trPr>
          <w:cantSplit/>
        </w:trPr>
        <w:tc>
          <w:tcPr>
            <w:tcW w:type="dxa" w:w="3456"/>
            <w:vAlign w:val="center"/>
          </w:tcPr>
          <w:p>
            <w:r/>
            <w:r>
              <w:rPr>
                <w:b w:val="0"/>
                <w:color w:val="111827"/>
                <w:sz w:val="17"/>
              </w:rPr>
              <w:t>Assigned Mentor</w:t>
            </w:r>
          </w:p>
        </w:tc>
        <w:tc>
          <w:tcPr>
            <w:tcW w:type="dxa" w:w="6480"/>
            <w:vAlign w:val="center"/>
          </w:tcPr>
          <w:p>
            <w:r/>
            <w:r>
              <w:rPr>
                <w:b w:val="0"/>
                <w:color w:val="111827"/>
                <w:sz w:val="17"/>
              </w:rPr>
              <w:t>[[NAME]]</w:t>
            </w:r>
          </w:p>
        </w:tc>
      </w:tr>
      <w:tr>
        <w:trPr>
          <w:cantSplit/>
        </w:trPr>
        <w:tc>
          <w:tcPr>
            <w:tcW w:type="dxa" w:w="3456"/>
            <w:vAlign w:val="center"/>
          </w:tcPr>
          <w:p>
            <w:r/>
            <w:r>
              <w:rPr>
                <w:b w:val="0"/>
                <w:color w:val="111827"/>
                <w:sz w:val="17"/>
              </w:rPr>
              <w:t>Practicum Supervisor</w:t>
            </w:r>
          </w:p>
        </w:tc>
        <w:tc>
          <w:tcPr>
            <w:tcW w:type="dxa" w:w="6480"/>
            <w:vAlign w:val="center"/>
          </w:tcPr>
          <w:p>
            <w:r/>
            <w:r>
              <w:rPr>
                <w:b w:val="0"/>
                <w:color w:val="111827"/>
                <w:sz w:val="17"/>
              </w:rPr>
              <w:t>[[NAME]]</w:t>
            </w:r>
          </w:p>
        </w:tc>
      </w:tr>
      <w:tr>
        <w:trPr>
          <w:cantSplit/>
        </w:trPr>
        <w:tc>
          <w:tcPr>
            <w:tcW w:type="dxa" w:w="3456"/>
            <w:vAlign w:val="center"/>
          </w:tcPr>
          <w:p>
            <w:r/>
            <w:r>
              <w:rPr>
                <w:b w:val="0"/>
                <w:color w:val="111827"/>
                <w:sz w:val="17"/>
              </w:rPr>
              <w:t>Course Sequence</w:t>
            </w:r>
          </w:p>
        </w:tc>
        <w:tc>
          <w:tcPr>
            <w:tcW w:type="dxa" w:w="6480"/>
            <w:vAlign w:val="center"/>
          </w:tcPr>
          <w:p>
            <w:r/>
            <w:r>
              <w:rPr>
                <w:b w:val="0"/>
                <w:color w:val="111827"/>
                <w:sz w:val="17"/>
              </w:rPr>
              <w:t>[[PLAN]]</w:t>
            </w:r>
          </w:p>
        </w:tc>
      </w:tr>
      <w:tr>
        <w:trPr>
          <w:cantSplit/>
        </w:trPr>
        <w:tc>
          <w:tcPr>
            <w:tcW w:type="dxa" w:w="3456"/>
            <w:vAlign w:val="center"/>
          </w:tcPr>
          <w:p>
            <w:r/>
            <w:r>
              <w:rPr>
                <w:b w:val="0"/>
                <w:color w:val="111827"/>
                <w:sz w:val="17"/>
              </w:rPr>
              <w:t>Character / Spiritual Formation Goals</w:t>
            </w:r>
          </w:p>
        </w:tc>
        <w:tc>
          <w:tcPr>
            <w:tcW w:type="dxa" w:w="6480"/>
            <w:vAlign w:val="center"/>
          </w:tcPr>
          <w:p>
            <w:r/>
            <w:r>
              <w:rPr>
                <w:b w:val="0"/>
                <w:color w:val="111827"/>
                <w:sz w:val="17"/>
              </w:rPr>
              <w:t>[[GOALS]]</w:t>
            </w:r>
          </w:p>
        </w:tc>
      </w:tr>
      <w:tr>
        <w:trPr>
          <w:cantSplit/>
        </w:trPr>
        <w:tc>
          <w:tcPr>
            <w:tcW w:type="dxa" w:w="3456"/>
            <w:vAlign w:val="center"/>
          </w:tcPr>
          <w:p>
            <w:r/>
            <w:r>
              <w:rPr>
                <w:b w:val="0"/>
                <w:color w:val="111827"/>
                <w:sz w:val="17"/>
              </w:rPr>
              <w:t>Practicum Sites / Roles</w:t>
            </w:r>
          </w:p>
        </w:tc>
        <w:tc>
          <w:tcPr>
            <w:tcW w:type="dxa" w:w="6480"/>
            <w:vAlign w:val="center"/>
          </w:tcPr>
          <w:p>
            <w:r/>
            <w:r>
              <w:rPr>
                <w:b w:val="0"/>
                <w:color w:val="111827"/>
                <w:sz w:val="17"/>
              </w:rPr>
              <w:t>[[SITES / ASSIGNMENTS]]</w:t>
            </w:r>
          </w:p>
        </w:tc>
      </w:tr>
      <w:tr>
        <w:trPr>
          <w:cantSplit/>
        </w:trPr>
        <w:tc>
          <w:tcPr>
            <w:tcW w:type="dxa" w:w="3456"/>
            <w:vAlign w:val="center"/>
          </w:tcPr>
          <w:p>
            <w:r/>
            <w:r>
              <w:rPr>
                <w:b w:val="0"/>
                <w:color w:val="111827"/>
                <w:sz w:val="17"/>
              </w:rPr>
              <w:t>Known Restrictions / Accommodations</w:t>
            </w:r>
          </w:p>
        </w:tc>
        <w:tc>
          <w:tcPr>
            <w:tcW w:type="dxa" w:w="6480"/>
            <w:vAlign w:val="center"/>
          </w:tcPr>
          <w:p>
            <w:r/>
            <w:r>
              <w:rPr>
                <w:b w:val="0"/>
                <w:color w:val="111827"/>
                <w:sz w:val="17"/>
              </w:rPr>
              <w:t>[[TEXT / NONE]]</w:t>
            </w:r>
          </w:p>
        </w:tc>
      </w:tr>
      <w:tr>
        <w:trPr>
          <w:cantSplit/>
        </w:trPr>
        <w:tc>
          <w:tcPr>
            <w:tcW w:type="dxa" w:w="3456"/>
            <w:vAlign w:val="center"/>
          </w:tcPr>
          <w:p>
            <w:r/>
            <w:r>
              <w:rPr>
                <w:b w:val="0"/>
                <w:color w:val="111827"/>
                <w:sz w:val="17"/>
              </w:rPr>
              <w:t>Review Dates</w:t>
            </w:r>
          </w:p>
        </w:tc>
        <w:tc>
          <w:tcPr>
            <w:tcW w:type="dxa" w:w="6480"/>
            <w:vAlign w:val="center"/>
          </w:tcPr>
          <w:p>
            <w:r/>
            <w:r>
              <w:rPr>
                <w:b w:val="0"/>
                <w:color w:val="111827"/>
                <w:sz w:val="17"/>
              </w:rPr>
              <w:t>[[DATES]]</w:t>
            </w:r>
          </w:p>
        </w:tc>
      </w:tr>
    </w:tbl>
    <w:p/>
    <w:p>
      <w:pPr>
        <w:pStyle w:val="Heading1"/>
        <w:keepNext/>
      </w:pPr>
      <w:r>
        <w:t>6. Evaluation Cycle</w:t>
      </w:r>
    </w:p>
    <w:p>
      <w:pPr>
        <w:keepLines/>
      </w:pPr>
      <w:r>
        <w:t>At least quarterly during active formation, the candidate and responsible supervisor should review progress against knowledge, ministry skill, ethics, safeguarding, constitutional competence, reliability, humility under correction, and scope-specific capabilities. Serious concerns should be documented early rather than withheld until final examination.</w:t>
      </w:r>
    </w:p>
    <w:p>
      <w:pPr>
        <w:pStyle w:val="Heading1"/>
        <w:keepNext/>
      </w:pPr>
      <w:r>
        <w:t>7. Examination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2937"/>
            <w:vAlign w:val="center"/>
          </w:tcPr>
          <w:p>
            <w:r/>
            <w:r>
              <w:rPr>
                <w:b/>
                <w:color w:val="FFFFFF"/>
                <w:sz w:val="18"/>
              </w:rPr>
              <w:t>Assessment</w:t>
            </w:r>
          </w:p>
        </w:tc>
        <w:tc>
          <w:tcPr>
            <w:tcW w:type="dxa" w:w="3168"/>
            <w:shd w:fill="1F2937"/>
            <w:vAlign w:val="center"/>
          </w:tcPr>
          <w:p>
            <w:r/>
            <w:r>
              <w:rPr>
                <w:b/>
                <w:color w:val="FFFFFF"/>
                <w:sz w:val="18"/>
              </w:rPr>
              <w:t>Purpose</w:t>
            </w:r>
          </w:p>
        </w:tc>
        <w:tc>
          <w:tcPr>
            <w:tcW w:type="dxa" w:w="4608"/>
            <w:shd w:fill="1F2937"/>
            <w:vAlign w:val="center"/>
          </w:tcPr>
          <w:p>
            <w:r/>
            <w:r>
              <w:rPr>
                <w:b/>
                <w:color w:val="FFFFFF"/>
                <w:sz w:val="18"/>
              </w:rPr>
              <w:t>Typical Evidence</w:t>
            </w:r>
          </w:p>
        </w:tc>
      </w:tr>
      <w:tr>
        <w:trPr>
          <w:cantSplit/>
        </w:trPr>
        <w:tc>
          <w:tcPr>
            <w:tcW w:type="dxa" w:w="2160"/>
            <w:vAlign w:val="center"/>
          </w:tcPr>
          <w:p>
            <w:r/>
            <w:r>
              <w:rPr>
                <w:b w:val="0"/>
                <w:color w:val="111827"/>
                <w:sz w:val="17"/>
              </w:rPr>
              <w:t>Written</w:t>
            </w:r>
          </w:p>
        </w:tc>
        <w:tc>
          <w:tcPr>
            <w:tcW w:type="dxa" w:w="3168"/>
            <w:vAlign w:val="center"/>
          </w:tcPr>
          <w:p>
            <w:r/>
            <w:r>
              <w:rPr>
                <w:b w:val="0"/>
                <w:color w:val="111827"/>
                <w:sz w:val="17"/>
              </w:rPr>
              <w:t>Knowledge and reasoning</w:t>
            </w:r>
          </w:p>
        </w:tc>
        <w:tc>
          <w:tcPr>
            <w:tcW w:type="dxa" w:w="4608"/>
            <w:vAlign w:val="center"/>
          </w:tcPr>
          <w:p>
            <w:r/>
            <w:r>
              <w:rPr>
                <w:b w:val="0"/>
                <w:color w:val="111827"/>
                <w:sz w:val="17"/>
              </w:rPr>
              <w:t>Essays, source analysis, doctrine/governance scenarios</w:t>
            </w:r>
          </w:p>
        </w:tc>
      </w:tr>
      <w:tr>
        <w:trPr>
          <w:cantSplit/>
        </w:trPr>
        <w:tc>
          <w:tcPr>
            <w:tcW w:type="dxa" w:w="2160"/>
            <w:vAlign w:val="center"/>
          </w:tcPr>
          <w:p>
            <w:r/>
            <w:r>
              <w:rPr>
                <w:b w:val="0"/>
                <w:color w:val="111827"/>
                <w:sz w:val="17"/>
              </w:rPr>
              <w:t>Oral</w:t>
            </w:r>
          </w:p>
        </w:tc>
        <w:tc>
          <w:tcPr>
            <w:tcW w:type="dxa" w:w="3168"/>
            <w:vAlign w:val="center"/>
          </w:tcPr>
          <w:p>
            <w:r/>
            <w:r>
              <w:rPr>
                <w:b w:val="0"/>
                <w:color w:val="111827"/>
                <w:sz w:val="17"/>
              </w:rPr>
              <w:t>Integration and judgment</w:t>
            </w:r>
          </w:p>
        </w:tc>
        <w:tc>
          <w:tcPr>
            <w:tcW w:type="dxa" w:w="4608"/>
            <w:vAlign w:val="center"/>
          </w:tcPr>
          <w:p>
            <w:r/>
            <w:r>
              <w:rPr>
                <w:b w:val="0"/>
                <w:color w:val="111827"/>
                <w:sz w:val="17"/>
              </w:rPr>
              <w:t>Panel questions, ethical dilemmas, pastoral and theological reasoning</w:t>
            </w:r>
          </w:p>
        </w:tc>
      </w:tr>
      <w:tr>
        <w:trPr>
          <w:cantSplit/>
        </w:trPr>
        <w:tc>
          <w:tcPr>
            <w:tcW w:type="dxa" w:w="2160"/>
            <w:vAlign w:val="center"/>
          </w:tcPr>
          <w:p>
            <w:r/>
            <w:r>
              <w:rPr>
                <w:b w:val="0"/>
                <w:color w:val="111827"/>
                <w:sz w:val="17"/>
              </w:rPr>
              <w:t>Practical</w:t>
            </w:r>
          </w:p>
        </w:tc>
        <w:tc>
          <w:tcPr>
            <w:tcW w:type="dxa" w:w="3168"/>
            <w:vAlign w:val="center"/>
          </w:tcPr>
          <w:p>
            <w:r/>
            <w:r>
              <w:rPr>
                <w:b w:val="0"/>
                <w:color w:val="111827"/>
                <w:sz w:val="17"/>
              </w:rPr>
              <w:t>Observed capability</w:t>
            </w:r>
          </w:p>
        </w:tc>
        <w:tc>
          <w:tcPr>
            <w:tcW w:type="dxa" w:w="4608"/>
            <w:vAlign w:val="center"/>
          </w:tcPr>
          <w:p>
            <w:r/>
            <w:r>
              <w:rPr>
                <w:b w:val="0"/>
                <w:color w:val="111827"/>
                <w:sz w:val="17"/>
              </w:rPr>
              <w:t>Worship, teaching, rite, pastoral or administrative demonstration</w:t>
            </w:r>
          </w:p>
        </w:tc>
      </w:tr>
      <w:tr>
        <w:trPr>
          <w:cantSplit/>
        </w:trPr>
        <w:tc>
          <w:tcPr>
            <w:tcW w:type="dxa" w:w="2160"/>
            <w:vAlign w:val="center"/>
          </w:tcPr>
          <w:p>
            <w:r/>
            <w:r>
              <w:rPr>
                <w:b w:val="0"/>
                <w:color w:val="111827"/>
                <w:sz w:val="17"/>
              </w:rPr>
              <w:t>Capstone</w:t>
            </w:r>
          </w:p>
        </w:tc>
        <w:tc>
          <w:tcPr>
            <w:tcW w:type="dxa" w:w="3168"/>
            <w:vAlign w:val="center"/>
          </w:tcPr>
          <w:p>
            <w:r/>
            <w:r>
              <w:rPr>
                <w:b w:val="0"/>
                <w:color w:val="111827"/>
                <w:sz w:val="17"/>
              </w:rPr>
              <w:t>Whole-program integration</w:t>
            </w:r>
          </w:p>
        </w:tc>
        <w:tc>
          <w:tcPr>
            <w:tcW w:type="dxa" w:w="4608"/>
            <w:vAlign w:val="center"/>
          </w:tcPr>
          <w:p>
            <w:r/>
            <w:r>
              <w:rPr>
                <w:b w:val="0"/>
                <w:color w:val="111827"/>
                <w:sz w:val="17"/>
              </w:rPr>
              <w:t>Research/practice project with presentation and defense</w:t>
            </w:r>
          </w:p>
        </w:tc>
      </w:tr>
      <w:tr>
        <w:trPr>
          <w:cantSplit/>
        </w:trPr>
        <w:tc>
          <w:tcPr>
            <w:tcW w:type="dxa" w:w="2160"/>
            <w:vAlign w:val="center"/>
          </w:tcPr>
          <w:p>
            <w:r/>
            <w:r>
              <w:rPr>
                <w:b w:val="0"/>
                <w:color w:val="111827"/>
                <w:sz w:val="17"/>
              </w:rPr>
              <w:t>Supervisor evaluation</w:t>
            </w:r>
          </w:p>
        </w:tc>
        <w:tc>
          <w:tcPr>
            <w:tcW w:type="dxa" w:w="3168"/>
            <w:vAlign w:val="center"/>
          </w:tcPr>
          <w:p>
            <w:r/>
            <w:r>
              <w:rPr>
                <w:b w:val="0"/>
                <w:color w:val="111827"/>
                <w:sz w:val="17"/>
              </w:rPr>
              <w:t>Longitudinal fitness</w:t>
            </w:r>
          </w:p>
        </w:tc>
        <w:tc>
          <w:tcPr>
            <w:tcW w:type="dxa" w:w="4608"/>
            <w:vAlign w:val="center"/>
          </w:tcPr>
          <w:p>
            <w:r/>
            <w:r>
              <w:rPr>
                <w:b w:val="0"/>
                <w:color w:val="111827"/>
                <w:sz w:val="17"/>
              </w:rPr>
              <w:t>Competency rubric and narrative assessment</w:t>
            </w:r>
          </w:p>
        </w:tc>
      </w:tr>
      <w:tr>
        <w:trPr>
          <w:cantSplit/>
        </w:trPr>
        <w:tc>
          <w:tcPr>
            <w:tcW w:type="dxa" w:w="2160"/>
            <w:vAlign w:val="center"/>
          </w:tcPr>
          <w:p>
            <w:r/>
            <w:r>
              <w:rPr>
                <w:b w:val="0"/>
                <w:color w:val="111827"/>
                <w:sz w:val="17"/>
              </w:rPr>
              <w:t>Community discernment</w:t>
            </w:r>
          </w:p>
        </w:tc>
        <w:tc>
          <w:tcPr>
            <w:tcW w:type="dxa" w:w="3168"/>
            <w:vAlign w:val="center"/>
          </w:tcPr>
          <w:p>
            <w:r/>
            <w:r>
              <w:rPr>
                <w:b w:val="0"/>
                <w:color w:val="111827"/>
                <w:sz w:val="17"/>
              </w:rPr>
              <w:t>Relational and ministry evidence</w:t>
            </w:r>
          </w:p>
        </w:tc>
        <w:tc>
          <w:tcPr>
            <w:tcW w:type="dxa" w:w="4608"/>
            <w:vAlign w:val="center"/>
          </w:tcPr>
          <w:p>
            <w:r/>
            <w:r>
              <w:rPr>
                <w:b w:val="0"/>
                <w:color w:val="111827"/>
                <w:sz w:val="17"/>
              </w:rPr>
              <w:t>Structured feedback; not popularity vote</w:t>
            </w:r>
          </w:p>
        </w:tc>
      </w:tr>
    </w:tbl>
    <w:p/>
    <w:p>
      <w:pPr>
        <w:pStyle w:val="Heading1"/>
        <w:keepNext/>
      </w:pPr>
      <w:r>
        <w:t>8. Remediation and Exit</w:t>
      </w:r>
    </w:p>
    <w:p>
      <w:pPr>
        <w:keepLines/>
      </w:pPr>
      <w:r>
        <w:t>Formation may result in advancement, additional formation, change of credential goal, pause/leave, or termination of candidacy. The program must be able to conclude respectfully that a person is not presently suited for a credential without declaring the person spiritually inferior or morally condemned.</w:t>
      </w:r>
    </w:p>
    <w:p>
      <w:pPr>
        <w:pStyle w:val="Heading1"/>
        <w:keepNext/>
      </w:pPr>
      <w:r>
        <w:t>9. Continuing Formation After Credentialing</w:t>
      </w:r>
    </w:p>
    <w:p>
      <w:pPr>
        <w:pStyle w:val="ListBullet"/>
        <w:keepLines/>
      </w:pPr>
      <w:r>
        <w:t>Annual standing confirmation.</w:t>
      </w:r>
    </w:p>
    <w:p>
      <w:pPr>
        <w:pStyle w:val="ListBullet"/>
        <w:keepLines/>
      </w:pPr>
      <w:r>
        <w:t>Minimum continuing formation plan appropriate to role.</w:t>
      </w:r>
    </w:p>
    <w:p>
      <w:pPr>
        <w:pStyle w:val="ListBullet"/>
        <w:keepLines/>
      </w:pPr>
      <w:r>
        <w:t>Periodic safeguarding renewal.</w:t>
      </w:r>
    </w:p>
    <w:p>
      <w:pPr>
        <w:pStyle w:val="ListBullet"/>
        <w:keepLines/>
      </w:pPr>
      <w:r>
        <w:t>Periodic review of doctrine/governance changes.</w:t>
      </w:r>
    </w:p>
    <w:p>
      <w:pPr>
        <w:pStyle w:val="ListBullet"/>
        <w:keepLines/>
      </w:pPr>
      <w:r>
        <w:t>Peer or supervisor review for substantial ministry roles.</w:t>
      </w:r>
    </w:p>
    <w:p>
      <w:pPr>
        <w:pStyle w:val="ListBullet"/>
        <w:keepLines/>
      </w:pPr>
      <w:r>
        <w:t>Targeted remediation after identified competency gaps.</w:t>
      </w:r>
    </w:p>
    <w:p>
      <w:pPr>
        <w:pStyle w:val="ListBullet"/>
        <w:keepLines/>
      </w:pPr>
      <w:r>
        <w:t>Sabbatical/study provisions where feasible.</w:t>
      </w:r>
    </w:p>
    <w:p>
      <w:pPr>
        <w:pStyle w:val="Heading1"/>
        <w:keepNext/>
      </w:pPr>
      <w:r>
        <w:t>10. Evidence Package for Church Classification</w:t>
      </w:r>
    </w:p>
    <w:p>
      <w:pPr>
        <w:keepLines/>
      </w:pPr>
      <w:r>
        <w:t>For external substantiation, the Religious Body should be able to show a real prescribed course of study and actual ministerial preparation records: curriculum, syllabi, enrollment/candidacy records, attendance/engagement, assessments, practicum logs, examination records, credential decisions, and a roster of ministers who actually completed the applicable process.</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[[ADOPTING_AUTHORITY]]</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pPr>
        <w:spacing w:before="60" w:after="0"/>
      </w:pPr>
      <w:r>
        <w:rPr>
          <w:sz w:val="17"/>
        </w:rPr>
        <w:br/>
        <w:t>________________________________________</w:t>
        <w:br/>
        <w:t>[[NAME / OFFICE]]</w:t>
        <w:br/>
        <w:t>[[DATE]]</w:t>
      </w:r>
    </w:p>
    <w:sectPr w:rsidR="00FC693F" w:rsidRPr="0006063C" w:rsidSect="00034616">
      <w:headerReference w:type="default" r:id="rId9"/>
      <w:footerReference w:type="default" r:id="rId10"/>
      <w:pgSz w:w="12240" w:h="15840"/>
      <w:pgMar w:top="835"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CH-033 | Ministerial Formation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