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Organizational Minutes and Initial Resolutions</w:t>
      </w:r>
    </w:p>
    <w:p>
      <w:pPr>
        <w:jc w:val="left"/>
      </w:pPr>
      <w:r>
        <w:rPr>
          <w:i/>
          <w:color w:val="4B5563"/>
          <w:sz w:val="22"/>
        </w:rPr>
        <w:t>Reusable initial board / incorporator action package; no action is effective until actually adopted</w:t>
      </w:r>
    </w:p>
    <w:tbl>
      <w:tblPr>
        <w:tblStyle w:val="TableGrid"/>
        <w:tblW w:type="auto" w:w="0"/>
        <w:jc w:val="left"/>
        <w:tblLook w:firstColumn="1" w:firstRow="1" w:lastColumn="0" w:lastRow="0" w:noHBand="0" w:noVBand="1" w:val="04A0"/>
      </w:tblPr>
      <w:tblGrid>
        <w:gridCol w:w="5083"/>
        <w:gridCol w:w="5083"/>
      </w:tblGrid>
      <w:tr>
        <w:tc>
          <w:tcPr>
            <w:tcW w:type="dxa" w:w="5083"/>
            <w:vAlign w:val="center"/>
            <w:shd w:fill="E5E7EB"/>
          </w:tcPr>
          <w:p>
            <w:r/>
            <w:r>
              <w:rPr>
                <w:rFonts w:ascii="Aptos" w:hAnsi="Aptos"/>
                <w:b/>
                <w:sz w:val="18"/>
              </w:rPr>
              <w:t>Document ID</w:t>
            </w:r>
          </w:p>
        </w:tc>
        <w:tc>
          <w:tcPr>
            <w:tcW w:type="dxa" w:w="5083"/>
            <w:vAlign w:val="center"/>
          </w:tcPr>
          <w:p>
            <w:r/>
            <w:r>
              <w:rPr>
                <w:rFonts w:ascii="Aptos" w:hAnsi="Aptos"/>
                <w:b w:val="0"/>
                <w:sz w:val="18"/>
              </w:rPr>
              <w:t>CH-037</w:t>
            </w:r>
          </w:p>
        </w:tc>
      </w:tr>
      <w:tr>
        <w:tc>
          <w:tcPr>
            <w:tcW w:type="dxa" w:w="5083"/>
            <w:vAlign w:val="center"/>
            <w:shd w:fill="E5E7EB"/>
          </w:tcPr>
          <w:p>
            <w:r/>
            <w:r>
              <w:rPr>
                <w:rFonts w:ascii="Aptos" w:hAnsi="Aptos"/>
                <w:b/>
                <w:sz w:val="18"/>
              </w:rPr>
              <w:t>Version</w:t>
            </w:r>
          </w:p>
        </w:tc>
        <w:tc>
          <w:tcPr>
            <w:tcW w:type="dxa" w:w="5083"/>
            <w:vAlign w:val="center"/>
          </w:tcPr>
          <w:p>
            <w:r/>
            <w:r>
              <w:rPr>
                <w:rFonts w:ascii="Aptos" w:hAnsi="Aptos"/>
                <w:b w:val="0"/>
                <w:sz w:val="18"/>
              </w:rPr>
              <w:t>0.1.0</w:t>
            </w:r>
          </w:p>
        </w:tc>
      </w:tr>
      <w:tr>
        <w:tc>
          <w:tcPr>
            <w:tcW w:type="dxa" w:w="5083"/>
            <w:vAlign w:val="center"/>
            <w:shd w:fill="E5E7EB"/>
          </w:tcPr>
          <w:p>
            <w:r/>
            <w:r>
              <w:rPr>
                <w:rFonts w:ascii="Aptos" w:hAnsi="Aptos"/>
                <w:b/>
                <w:sz w:val="18"/>
              </w:rPr>
              <w:t>Status</w:t>
            </w:r>
          </w:p>
        </w:tc>
        <w:tc>
          <w:tcPr>
            <w:tcW w:type="dxa" w:w="5083"/>
            <w:vAlign w:val="center"/>
          </w:tcPr>
          <w:p>
            <w:r/>
            <w:r>
              <w:rPr>
                <w:rFonts w:ascii="Aptos" w:hAnsi="Aptos"/>
                <w:b w:val="0"/>
                <w:sz w:val="18"/>
              </w:rPr>
              <w:t>Provisional Working Draft</w:t>
            </w:r>
          </w:p>
        </w:tc>
      </w:tr>
      <w:tr>
        <w:tc>
          <w:tcPr>
            <w:tcW w:type="dxa" w:w="5083"/>
            <w:vAlign w:val="center"/>
            <w:shd w:fill="E5E7EB"/>
          </w:tcPr>
          <w:p>
            <w:r/>
            <w:r>
              <w:rPr>
                <w:rFonts w:ascii="Aptos" w:hAnsi="Aptos"/>
                <w:b/>
                <w:sz w:val="18"/>
              </w:rPr>
              <w:t>Entity</w:t>
            </w:r>
          </w:p>
        </w:tc>
        <w:tc>
          <w:tcPr>
            <w:tcW w:type="dxa" w:w="5083"/>
            <w:vAlign w:val="center"/>
          </w:tcPr>
          <w:p>
            <w:r/>
            <w:r>
              <w:rPr>
                <w:rFonts w:ascii="Aptos" w:hAnsi="Aptos"/>
                <w:b w:val="0"/>
                <w:sz w:val="18"/>
              </w:rPr>
              <w:t>[[CORP_NAME]]</w:t>
            </w:r>
          </w:p>
        </w:tc>
      </w:tr>
      <w:tr>
        <w:tc>
          <w:tcPr>
            <w:tcW w:type="dxa" w:w="5083"/>
            <w:vAlign w:val="center"/>
            <w:shd w:fill="E5E7EB"/>
          </w:tcPr>
          <w:p>
            <w:r/>
            <w:r>
              <w:rPr>
                <w:rFonts w:ascii="Aptos" w:hAnsi="Aptos"/>
                <w:b/>
                <w:sz w:val="18"/>
              </w:rPr>
              <w:t>Adoption</w:t>
            </w:r>
          </w:p>
        </w:tc>
        <w:tc>
          <w:tcPr>
            <w:tcW w:type="dxa" w:w="5083"/>
            <w:vAlign w:val="center"/>
          </w:tcPr>
          <w:p>
            <w:r/>
            <w:r>
              <w:rPr>
                <w:rFonts w:ascii="Aptos" w:hAnsi="Aptos"/>
                <w:b w:val="0"/>
                <w:sz w:val="18"/>
              </w:rPr>
              <w:t>Not effective until validly adopted</w:t>
            </w:r>
          </w:p>
        </w:tc>
      </w:tr>
    </w:tbl>
    <w:p>
      <w:r>
        <w:rPr>
          <w:b/>
        </w:rPr>
        <w:t xml:space="preserve">Drafting notice. </w:t>
      </w:r>
      <w:r>
        <w:t>This instrument is a governance/compliance working draft. It does not create facts that have not occurred, does not replace professional legal or tax advice, and must be conformed to verified organizational facts before adoption or filing.</w:t>
      </w:r>
    </w:p>
    <w:p>
      <w:pPr>
        <w:pStyle w:val="Heading1"/>
      </w:pPr>
      <w:r>
        <w:t>Use Rule</w:t>
      </w:r>
    </w:p>
    <w:p>
      <w:r>
        <w:t>This document is a minutes and resolution template. It must be completed from the actual meeting or written consent. It must never be backdated or signed to imply that a decision occurred before it actually occurred.</w:t>
      </w:r>
    </w:p>
    <w:p>
      <w:pPr>
        <w:pStyle w:val="Heading1"/>
      </w:pPr>
      <w:r>
        <w:t>Meeting Information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vAlign w:val="center"/>
            <w:shd w:fill="1F4E79"/>
          </w:tcPr>
          <w:p>
            <w:r/>
            <w:r>
              <w:rPr>
                <w:rFonts w:ascii="Aptos" w:hAnsi="Aptos"/>
                <w:b/>
                <w:color w:val="FFFFFF"/>
                <w:sz w:val="18"/>
              </w:rPr>
              <w:t>Field</w:t>
            </w:r>
          </w:p>
        </w:tc>
        <w:tc>
          <w:tcPr>
            <w:tcW w:type="dxa" w:w="5083"/>
            <w:vAlign w:val="center"/>
            <w:shd w:fill="1F4E79"/>
          </w:tcPr>
          <w:p>
            <w:r/>
            <w:r>
              <w:rPr>
                <w:rFonts w:ascii="Aptos" w:hAnsi="Aptos"/>
                <w:b/>
                <w:color w:val="FFFFFF"/>
                <w:sz w:val="18"/>
              </w:rPr>
              <w:t>Entry</w:t>
            </w:r>
          </w:p>
        </w:tc>
      </w:tr>
      <w:tr>
        <w:trPr>
          <w:cantSplit/>
        </w:trPr>
        <w:tc>
          <w:tcPr>
            <w:tcW w:type="dxa" w:w="5083"/>
            <w:vAlign w:val="center"/>
          </w:tcPr>
          <w:p>
            <w:r/>
            <w:r>
              <w:rPr>
                <w:rFonts w:ascii="Aptos" w:hAnsi="Aptos"/>
                <w:b w:val="0"/>
                <w:sz w:val="18"/>
              </w:rPr>
              <w:t>Entity</w:t>
            </w:r>
          </w:p>
        </w:tc>
        <w:tc>
          <w:tcPr>
            <w:tcW w:type="dxa" w:w="5083"/>
            <w:vAlign w:val="center"/>
          </w:tcPr>
          <w:p>
            <w:r/>
            <w:r>
              <w:rPr>
                <w:rFonts w:ascii="Aptos" w:hAnsi="Aptos"/>
                <w:b w:val="0"/>
                <w:sz w:val="18"/>
              </w:rPr>
              <w:t>[[CORP_NAME]]</w:t>
            </w:r>
          </w:p>
        </w:tc>
      </w:tr>
      <w:tr>
        <w:trPr>
          <w:cantSplit/>
        </w:trPr>
        <w:tc>
          <w:tcPr>
            <w:tcW w:type="dxa" w:w="5083"/>
            <w:vAlign w:val="center"/>
          </w:tcPr>
          <w:p>
            <w:r/>
            <w:r>
              <w:rPr>
                <w:rFonts w:ascii="Aptos" w:hAnsi="Aptos"/>
                <w:b w:val="0"/>
                <w:sz w:val="18"/>
              </w:rPr>
              <w:t>Meeting type</w:t>
            </w:r>
          </w:p>
        </w:tc>
        <w:tc>
          <w:tcPr>
            <w:tcW w:type="dxa" w:w="5083"/>
            <w:vAlign w:val="center"/>
          </w:tcPr>
          <w:p>
            <w:r/>
            <w:r>
              <w:rPr>
                <w:rFonts w:ascii="Aptos" w:hAnsi="Aptos"/>
                <w:b w:val="0"/>
                <w:sz w:val="18"/>
              </w:rPr>
              <w:t>[[INITIAL BOARD MEETING / WRITTEN CONSENT]]</w:t>
            </w:r>
          </w:p>
        </w:tc>
      </w:tr>
      <w:tr>
        <w:trPr>
          <w:cantSplit/>
        </w:trPr>
        <w:tc>
          <w:tcPr>
            <w:tcW w:type="dxa" w:w="5083"/>
            <w:vAlign w:val="center"/>
          </w:tcPr>
          <w:p>
            <w:r/>
            <w:r>
              <w:rPr>
                <w:rFonts w:ascii="Aptos" w:hAnsi="Aptos"/>
                <w:b w:val="0"/>
                <w:sz w:val="18"/>
              </w:rPr>
              <w:t>Date / time</w:t>
            </w:r>
          </w:p>
        </w:tc>
        <w:tc>
          <w:tcPr>
            <w:tcW w:type="dxa" w:w="5083"/>
            <w:vAlign w:val="center"/>
          </w:tcPr>
          <w:p>
            <w:r/>
            <w:r>
              <w:rPr>
                <w:rFonts w:ascii="Aptos" w:hAnsi="Aptos"/>
                <w:b w:val="0"/>
                <w:sz w:val="18"/>
              </w:rPr>
              <w:t>[[DATE / TIME]]</w:t>
            </w:r>
          </w:p>
        </w:tc>
      </w:tr>
      <w:tr>
        <w:trPr>
          <w:cantSplit/>
        </w:trPr>
        <w:tc>
          <w:tcPr>
            <w:tcW w:type="dxa" w:w="5083"/>
            <w:vAlign w:val="center"/>
          </w:tcPr>
          <w:p>
            <w:r/>
            <w:r>
              <w:rPr>
                <w:rFonts w:ascii="Aptos" w:hAnsi="Aptos"/>
                <w:b w:val="0"/>
                <w:sz w:val="18"/>
              </w:rPr>
              <w:t>Location / method</w:t>
            </w:r>
          </w:p>
        </w:tc>
        <w:tc>
          <w:tcPr>
            <w:tcW w:type="dxa" w:w="5083"/>
            <w:vAlign w:val="center"/>
          </w:tcPr>
          <w:p>
            <w:r/>
            <w:r>
              <w:rPr>
                <w:rFonts w:ascii="Aptos" w:hAnsi="Aptos"/>
                <w:b w:val="0"/>
                <w:sz w:val="18"/>
              </w:rPr>
              <w:t>[[LOCATION / REMOTE METHOD]]</w:t>
            </w:r>
          </w:p>
        </w:tc>
      </w:tr>
      <w:tr>
        <w:trPr>
          <w:cantSplit/>
        </w:trPr>
        <w:tc>
          <w:tcPr>
            <w:tcW w:type="dxa" w:w="5083"/>
            <w:vAlign w:val="center"/>
          </w:tcPr>
          <w:p>
            <w:r/>
            <w:r>
              <w:rPr>
                <w:rFonts w:ascii="Aptos" w:hAnsi="Aptos"/>
                <w:b w:val="0"/>
                <w:sz w:val="18"/>
              </w:rPr>
              <w:t>Directors present</w:t>
            </w:r>
          </w:p>
        </w:tc>
        <w:tc>
          <w:tcPr>
            <w:tcW w:type="dxa" w:w="5083"/>
            <w:vAlign w:val="center"/>
          </w:tcPr>
          <w:p>
            <w:r/>
            <w:r>
              <w:rPr>
                <w:rFonts w:ascii="Aptos" w:hAnsi="Aptos"/>
                <w:b w:val="0"/>
                <w:sz w:val="18"/>
              </w:rPr>
              <w:t>[[NAMES]]</w:t>
            </w:r>
          </w:p>
        </w:tc>
      </w:tr>
      <w:tr>
        <w:trPr>
          <w:cantSplit/>
        </w:trPr>
        <w:tc>
          <w:tcPr>
            <w:tcW w:type="dxa" w:w="5083"/>
            <w:vAlign w:val="center"/>
          </w:tcPr>
          <w:p>
            <w:r/>
            <w:r>
              <w:rPr>
                <w:rFonts w:ascii="Aptos" w:hAnsi="Aptos"/>
                <w:b w:val="0"/>
                <w:sz w:val="18"/>
              </w:rPr>
              <w:t>Directors absent</w:t>
            </w:r>
          </w:p>
        </w:tc>
        <w:tc>
          <w:tcPr>
            <w:tcW w:type="dxa" w:w="5083"/>
            <w:vAlign w:val="center"/>
          </w:tcPr>
          <w:p>
            <w:r/>
            <w:r>
              <w:rPr>
                <w:rFonts w:ascii="Aptos" w:hAnsi="Aptos"/>
                <w:b w:val="0"/>
                <w:sz w:val="18"/>
              </w:rPr>
              <w:t>[[NAMES]]</w:t>
            </w:r>
          </w:p>
        </w:tc>
      </w:tr>
      <w:tr>
        <w:trPr>
          <w:cantSplit/>
        </w:trPr>
        <w:tc>
          <w:tcPr>
            <w:tcW w:type="dxa" w:w="5083"/>
            <w:vAlign w:val="center"/>
          </w:tcPr>
          <w:p>
            <w:r/>
            <w:r>
              <w:rPr>
                <w:rFonts w:ascii="Aptos" w:hAnsi="Aptos"/>
                <w:b w:val="0"/>
                <w:sz w:val="18"/>
              </w:rPr>
              <w:t>Quorum</w:t>
            </w:r>
          </w:p>
        </w:tc>
        <w:tc>
          <w:tcPr>
            <w:tcW w:type="dxa" w:w="5083"/>
            <w:vAlign w:val="center"/>
          </w:tcPr>
          <w:p>
            <w:r/>
            <w:r>
              <w:rPr>
                <w:rFonts w:ascii="Aptos" w:hAnsi="Aptos"/>
                <w:b w:val="0"/>
                <w:sz w:val="18"/>
              </w:rPr>
              <w:t>[[ESTABLISHED / N/A]]</w:t>
            </w:r>
          </w:p>
        </w:tc>
      </w:tr>
      <w:tr>
        <w:trPr>
          <w:cantSplit/>
        </w:trPr>
        <w:tc>
          <w:tcPr>
            <w:tcW w:type="dxa" w:w="5083"/>
            <w:vAlign w:val="center"/>
          </w:tcPr>
          <w:p>
            <w:r/>
            <w:r>
              <w:rPr>
                <w:rFonts w:ascii="Aptos" w:hAnsi="Aptos"/>
                <w:b w:val="0"/>
                <w:sz w:val="18"/>
              </w:rPr>
              <w:t>Presiding</w:t>
            </w:r>
          </w:p>
        </w:tc>
        <w:tc>
          <w:tcPr>
            <w:tcW w:type="dxa" w:w="5083"/>
            <w:vAlign w:val="center"/>
          </w:tcPr>
          <w:p>
            <w:r/>
            <w:r>
              <w:rPr>
                <w:rFonts w:ascii="Aptos" w:hAnsi="Aptos"/>
                <w:b w:val="0"/>
                <w:sz w:val="18"/>
              </w:rPr>
              <w:t>[[NAME]]</w:t>
            </w:r>
          </w:p>
        </w:tc>
      </w:tr>
      <w:tr>
        <w:trPr>
          <w:cantSplit/>
        </w:trPr>
        <w:tc>
          <w:tcPr>
            <w:tcW w:type="dxa" w:w="5083"/>
            <w:vAlign w:val="center"/>
          </w:tcPr>
          <w:p>
            <w:r/>
            <w:r>
              <w:rPr>
                <w:rFonts w:ascii="Aptos" w:hAnsi="Aptos"/>
                <w:b w:val="0"/>
                <w:sz w:val="18"/>
              </w:rPr>
              <w:t>Recorder</w:t>
            </w:r>
          </w:p>
        </w:tc>
        <w:tc>
          <w:tcPr>
            <w:tcW w:type="dxa" w:w="5083"/>
            <w:vAlign w:val="center"/>
          </w:tcPr>
          <w:p>
            <w:r/>
            <w:r>
              <w:rPr>
                <w:rFonts w:ascii="Aptos" w:hAnsi="Aptos"/>
                <w:b w:val="0"/>
                <w:sz w:val="18"/>
              </w:rPr>
              <w:t>[[NAME]]</w:t>
            </w:r>
          </w:p>
        </w:tc>
      </w:tr>
    </w:tbl>
    <w:p>
      <w:pPr>
        <w:pStyle w:val="Heading1"/>
      </w:pPr>
      <w:r>
        <w:t>Initial Resolutions - Approve Only What Is Factually Ready</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232"/>
            <w:vAlign w:val="center"/>
            <w:shd w:fill="1F4E79"/>
          </w:tcPr>
          <w:p>
            <w:r/>
            <w:r>
              <w:rPr>
                <w:rFonts w:ascii="Aptos" w:hAnsi="Aptos"/>
                <w:b/>
                <w:color w:val="FFFFFF"/>
                <w:sz w:val="18"/>
              </w:rPr>
              <w:t>Resolution Topic</w:t>
            </w:r>
          </w:p>
        </w:tc>
        <w:tc>
          <w:tcPr>
            <w:tcW w:type="dxa" w:w="7200"/>
            <w:vAlign w:val="center"/>
            <w:shd w:fill="1F4E79"/>
          </w:tcPr>
          <w:p>
            <w:r/>
            <w:r>
              <w:rPr>
                <w:rFonts w:ascii="Aptos" w:hAnsi="Aptos"/>
                <w:b/>
                <w:color w:val="FFFFFF"/>
                <w:sz w:val="18"/>
              </w:rPr>
              <w:t>Proposed Resolution / Action</w:t>
            </w:r>
          </w:p>
        </w:tc>
      </w:tr>
      <w:tr>
        <w:trPr>
          <w:cantSplit/>
        </w:trPr>
        <w:tc>
          <w:tcPr>
            <w:tcW w:type="dxa" w:w="2232"/>
            <w:vAlign w:val="center"/>
          </w:tcPr>
          <w:p>
            <w:r/>
            <w:r>
              <w:rPr>
                <w:rFonts w:ascii="Aptos" w:hAnsi="Aptos"/>
                <w:b w:val="0"/>
                <w:sz w:val="18"/>
              </w:rPr>
              <w:t>Formation records</w:t>
            </w:r>
          </w:p>
        </w:tc>
        <w:tc>
          <w:tcPr>
            <w:tcW w:type="dxa" w:w="7200"/>
            <w:vAlign w:val="center"/>
          </w:tcPr>
          <w:p>
            <w:r/>
            <w:r>
              <w:rPr>
                <w:rFonts w:ascii="Aptos" w:hAnsi="Aptos"/>
                <w:b w:val="0"/>
                <w:sz w:val="18"/>
              </w:rPr>
              <w:t>Receive and place the filed charter and organizational documents in the permanent records.</w:t>
            </w:r>
          </w:p>
        </w:tc>
      </w:tr>
      <w:tr>
        <w:trPr>
          <w:cantSplit/>
        </w:trPr>
        <w:tc>
          <w:tcPr>
            <w:tcW w:type="dxa" w:w="2232"/>
            <w:vAlign w:val="center"/>
          </w:tcPr>
          <w:p>
            <w:r/>
            <w:r>
              <w:rPr>
                <w:rFonts w:ascii="Aptos" w:hAnsi="Aptos"/>
                <w:b w:val="0"/>
                <w:sz w:val="18"/>
              </w:rPr>
              <w:t>Bylaws</w:t>
            </w:r>
          </w:p>
        </w:tc>
        <w:tc>
          <w:tcPr>
            <w:tcW w:type="dxa" w:w="7200"/>
            <w:vAlign w:val="center"/>
          </w:tcPr>
          <w:p>
            <w:r/>
            <w:r>
              <w:rPr>
                <w:rFonts w:ascii="Aptos" w:hAnsi="Aptos"/>
                <w:b w:val="0"/>
                <w:sz w:val="18"/>
              </w:rPr>
              <w:t>Adopt CH-005 / BYL-001, with any approved amendments recorded.</w:t>
            </w:r>
          </w:p>
        </w:tc>
      </w:tr>
      <w:tr>
        <w:trPr>
          <w:cantSplit/>
        </w:trPr>
        <w:tc>
          <w:tcPr>
            <w:tcW w:type="dxa" w:w="2232"/>
            <w:vAlign w:val="center"/>
          </w:tcPr>
          <w:p>
            <w:r/>
            <w:r>
              <w:rPr>
                <w:rFonts w:ascii="Aptos" w:hAnsi="Aptos"/>
                <w:b w:val="0"/>
                <w:sz w:val="18"/>
              </w:rPr>
              <w:t>Officers</w:t>
            </w:r>
          </w:p>
        </w:tc>
        <w:tc>
          <w:tcPr>
            <w:tcW w:type="dxa" w:w="7200"/>
            <w:vAlign w:val="center"/>
          </w:tcPr>
          <w:p>
            <w:r/>
            <w:r>
              <w:rPr>
                <w:rFonts w:ascii="Aptos" w:hAnsi="Aptos"/>
                <w:b w:val="0"/>
                <w:sz w:val="18"/>
              </w:rPr>
              <w:t>Appoint President, Secretary, Treasurer, and any other authorized officers.</w:t>
            </w:r>
          </w:p>
        </w:tc>
      </w:tr>
      <w:tr>
        <w:trPr>
          <w:cantSplit/>
        </w:trPr>
        <w:tc>
          <w:tcPr>
            <w:tcW w:type="dxa" w:w="2232"/>
            <w:vAlign w:val="center"/>
          </w:tcPr>
          <w:p>
            <w:r/>
            <w:r>
              <w:rPr>
                <w:rFonts w:ascii="Aptos" w:hAnsi="Aptos"/>
                <w:b w:val="0"/>
                <w:sz w:val="18"/>
              </w:rPr>
              <w:t>Fiscal year</w:t>
            </w:r>
          </w:p>
        </w:tc>
        <w:tc>
          <w:tcPr>
            <w:tcW w:type="dxa" w:w="7200"/>
            <w:vAlign w:val="center"/>
          </w:tcPr>
          <w:p>
            <w:r/>
            <w:r>
              <w:rPr>
                <w:rFonts w:ascii="Aptos" w:hAnsi="Aptos"/>
                <w:b w:val="0"/>
                <w:sz w:val="18"/>
              </w:rPr>
              <w:t>Adopt fiscal-year end: [[MONTH / DATE]].</w:t>
            </w:r>
          </w:p>
        </w:tc>
      </w:tr>
      <w:tr>
        <w:trPr>
          <w:cantSplit/>
        </w:trPr>
        <w:tc>
          <w:tcPr>
            <w:tcW w:type="dxa" w:w="2232"/>
            <w:vAlign w:val="center"/>
          </w:tcPr>
          <w:p>
            <w:r/>
            <w:r>
              <w:rPr>
                <w:rFonts w:ascii="Aptos" w:hAnsi="Aptos"/>
                <w:b w:val="0"/>
                <w:sz w:val="18"/>
              </w:rPr>
              <w:t>EIN</w:t>
            </w:r>
          </w:p>
        </w:tc>
        <w:tc>
          <w:tcPr>
            <w:tcW w:type="dxa" w:w="7200"/>
            <w:vAlign w:val="center"/>
          </w:tcPr>
          <w:p>
            <w:r/>
            <w:r>
              <w:rPr>
                <w:rFonts w:ascii="Aptos" w:hAnsi="Aptos"/>
                <w:b w:val="0"/>
                <w:sz w:val="18"/>
              </w:rPr>
              <w:t>Authorize application for or receipt of an EIN after legal formation.</w:t>
            </w:r>
          </w:p>
        </w:tc>
      </w:tr>
      <w:tr>
        <w:trPr>
          <w:cantSplit/>
        </w:trPr>
        <w:tc>
          <w:tcPr>
            <w:tcW w:type="dxa" w:w="2232"/>
            <w:vAlign w:val="center"/>
          </w:tcPr>
          <w:p>
            <w:r/>
            <w:r>
              <w:rPr>
                <w:rFonts w:ascii="Aptos" w:hAnsi="Aptos"/>
                <w:b w:val="0"/>
                <w:sz w:val="18"/>
              </w:rPr>
              <w:t>Banking</w:t>
            </w:r>
          </w:p>
        </w:tc>
        <w:tc>
          <w:tcPr>
            <w:tcW w:type="dxa" w:w="7200"/>
            <w:vAlign w:val="center"/>
          </w:tcPr>
          <w:p>
            <w:r/>
            <w:r>
              <w:rPr>
                <w:rFonts w:ascii="Aptos" w:hAnsi="Aptos"/>
                <w:b w:val="0"/>
                <w:sz w:val="18"/>
              </w:rPr>
              <w:t>Authorize institutional bank account(s), signers, online access, and financial controls; prohibit commingling with personal accounts.</w:t>
            </w:r>
          </w:p>
        </w:tc>
      </w:tr>
      <w:tr>
        <w:trPr>
          <w:cantSplit/>
        </w:trPr>
        <w:tc>
          <w:tcPr>
            <w:tcW w:type="dxa" w:w="2232"/>
            <w:vAlign w:val="center"/>
          </w:tcPr>
          <w:p>
            <w:r/>
            <w:r>
              <w:rPr>
                <w:rFonts w:ascii="Aptos" w:hAnsi="Aptos"/>
                <w:b w:val="0"/>
                <w:sz w:val="18"/>
              </w:rPr>
              <w:t>Conflict policy</w:t>
            </w:r>
          </w:p>
        </w:tc>
        <w:tc>
          <w:tcPr>
            <w:tcW w:type="dxa" w:w="7200"/>
            <w:vAlign w:val="center"/>
          </w:tcPr>
          <w:p>
            <w:r/>
            <w:r>
              <w:rPr>
                <w:rFonts w:ascii="Aptos" w:hAnsi="Aptos"/>
                <w:b w:val="0"/>
                <w:sz w:val="18"/>
              </w:rPr>
              <w:t>Adopt CH-038 and require initial disclosures.</w:t>
            </w:r>
          </w:p>
        </w:tc>
      </w:tr>
      <w:tr>
        <w:trPr>
          <w:cantSplit/>
        </w:trPr>
        <w:tc>
          <w:tcPr>
            <w:tcW w:type="dxa" w:w="2232"/>
            <w:vAlign w:val="center"/>
          </w:tcPr>
          <w:p>
            <w:r/>
            <w:r>
              <w:rPr>
                <w:rFonts w:ascii="Aptos" w:hAnsi="Aptos"/>
                <w:b w:val="0"/>
                <w:sz w:val="18"/>
              </w:rPr>
              <w:t>Compensation</w:t>
            </w:r>
          </w:p>
        </w:tc>
        <w:tc>
          <w:tcPr>
            <w:tcW w:type="dxa" w:w="7200"/>
            <w:vAlign w:val="center"/>
          </w:tcPr>
          <w:p>
            <w:r/>
            <w:r>
              <w:rPr>
                <w:rFonts w:ascii="Aptos" w:hAnsi="Aptos"/>
                <w:b w:val="0"/>
                <w:sz w:val="18"/>
              </w:rPr>
              <w:t>Adopt CH-039. No person is authorized to set their own compensation; any initial compensation decision must be separately documented.</w:t>
            </w:r>
          </w:p>
        </w:tc>
      </w:tr>
      <w:tr>
        <w:trPr>
          <w:cantSplit/>
        </w:trPr>
        <w:tc>
          <w:tcPr>
            <w:tcW w:type="dxa" w:w="2232"/>
            <w:vAlign w:val="center"/>
          </w:tcPr>
          <w:p>
            <w:r/>
            <w:r>
              <w:rPr>
                <w:rFonts w:ascii="Aptos" w:hAnsi="Aptos"/>
                <w:b w:val="0"/>
                <w:sz w:val="18"/>
              </w:rPr>
              <w:t>Financial controls</w:t>
            </w:r>
          </w:p>
        </w:tc>
        <w:tc>
          <w:tcPr>
            <w:tcW w:type="dxa" w:w="7200"/>
            <w:vAlign w:val="center"/>
          </w:tcPr>
          <w:p>
            <w:r/>
            <w:r>
              <w:rPr>
                <w:rFonts w:ascii="Aptos" w:hAnsi="Aptos"/>
                <w:b w:val="0"/>
                <w:sz w:val="18"/>
              </w:rPr>
              <w:t>Adopt CH-040 and the initial authority matrix.</w:t>
            </w:r>
          </w:p>
        </w:tc>
      </w:tr>
      <w:tr>
        <w:trPr>
          <w:cantSplit/>
        </w:trPr>
        <w:tc>
          <w:tcPr>
            <w:tcW w:type="dxa" w:w="2232"/>
            <w:vAlign w:val="center"/>
          </w:tcPr>
          <w:p>
            <w:r/>
            <w:r>
              <w:rPr>
                <w:rFonts w:ascii="Aptos" w:hAnsi="Aptos"/>
                <w:b w:val="0"/>
                <w:sz w:val="18"/>
              </w:rPr>
              <w:t>Contributions</w:t>
            </w:r>
          </w:p>
        </w:tc>
        <w:tc>
          <w:tcPr>
            <w:tcW w:type="dxa" w:w="7200"/>
            <w:vAlign w:val="center"/>
          </w:tcPr>
          <w:p>
            <w:r/>
            <w:r>
              <w:rPr>
                <w:rFonts w:ascii="Aptos" w:hAnsi="Aptos"/>
                <w:b w:val="0"/>
                <w:sz w:val="18"/>
              </w:rPr>
              <w:t>Adopt CH-041 before public fundraising or material gift intake.</w:t>
            </w:r>
          </w:p>
        </w:tc>
      </w:tr>
      <w:tr>
        <w:trPr>
          <w:cantSplit/>
        </w:trPr>
        <w:tc>
          <w:tcPr>
            <w:tcW w:type="dxa" w:w="2232"/>
            <w:vAlign w:val="center"/>
          </w:tcPr>
          <w:p>
            <w:r/>
            <w:r>
              <w:rPr>
                <w:rFonts w:ascii="Aptos" w:hAnsi="Aptos"/>
                <w:b w:val="0"/>
                <w:sz w:val="18"/>
              </w:rPr>
              <w:t>Budget</w:t>
            </w:r>
          </w:p>
        </w:tc>
        <w:tc>
          <w:tcPr>
            <w:tcW w:type="dxa" w:w="7200"/>
            <w:vAlign w:val="center"/>
          </w:tcPr>
          <w:p>
            <w:r/>
            <w:r>
              <w:rPr>
                <w:rFonts w:ascii="Aptos" w:hAnsi="Aptos"/>
                <w:b w:val="0"/>
                <w:sz w:val="18"/>
              </w:rPr>
              <w:t>Adopt CH-042 founding budget when actual assumptions are available.</w:t>
            </w:r>
          </w:p>
        </w:tc>
      </w:tr>
      <w:tr>
        <w:trPr>
          <w:cantSplit/>
        </w:trPr>
        <w:tc>
          <w:tcPr>
            <w:tcW w:type="dxa" w:w="2232"/>
            <w:vAlign w:val="center"/>
          </w:tcPr>
          <w:p>
            <w:r/>
            <w:r>
              <w:rPr>
                <w:rFonts w:ascii="Aptos" w:hAnsi="Aptos"/>
                <w:b w:val="0"/>
                <w:sz w:val="18"/>
              </w:rPr>
              <w:t>Records</w:t>
            </w:r>
          </w:p>
        </w:tc>
        <w:tc>
          <w:tcPr>
            <w:tcW w:type="dxa" w:w="7200"/>
            <w:vAlign w:val="center"/>
          </w:tcPr>
          <w:p>
            <w:r/>
            <w:r>
              <w:rPr>
                <w:rFonts w:ascii="Aptos" w:hAnsi="Aptos"/>
                <w:b w:val="0"/>
                <w:sz w:val="18"/>
              </w:rPr>
              <w:t>Adopt CH-048 retention standard and designate official record repositories.</w:t>
            </w:r>
          </w:p>
        </w:tc>
      </w:tr>
      <w:tr>
        <w:trPr>
          <w:cantSplit/>
        </w:trPr>
        <w:tc>
          <w:tcPr>
            <w:tcW w:type="dxa" w:w="2232"/>
            <w:vAlign w:val="center"/>
          </w:tcPr>
          <w:p>
            <w:r/>
            <w:r>
              <w:rPr>
                <w:rFonts w:ascii="Aptos" w:hAnsi="Aptos"/>
                <w:b w:val="0"/>
                <w:sz w:val="18"/>
              </w:rPr>
              <w:t>Religious governance</w:t>
            </w:r>
          </w:p>
        </w:tc>
        <w:tc>
          <w:tcPr>
            <w:tcW w:type="dxa" w:w="7200"/>
            <w:vAlign w:val="center"/>
          </w:tcPr>
          <w:p>
            <w:r/>
            <w:r>
              <w:rPr>
                <w:rFonts w:ascii="Aptos" w:hAnsi="Aptos"/>
                <w:b w:val="0"/>
                <w:sz w:val="18"/>
              </w:rPr>
              <w:t>Acknowledge REL-CON-001, ECC-CON-001 and related ecclesiastical instruments to the extent validly adopted.</w:t>
            </w:r>
          </w:p>
        </w:tc>
      </w:tr>
      <w:tr>
        <w:trPr>
          <w:cantSplit/>
        </w:trPr>
        <w:tc>
          <w:tcPr>
            <w:tcW w:type="dxa" w:w="2232"/>
            <w:vAlign w:val="center"/>
          </w:tcPr>
          <w:p>
            <w:r/>
            <w:r>
              <w:rPr>
                <w:rFonts w:ascii="Aptos" w:hAnsi="Aptos"/>
                <w:b w:val="0"/>
                <w:sz w:val="18"/>
              </w:rPr>
              <w:t>IRS recognition</w:t>
            </w:r>
          </w:p>
        </w:tc>
        <w:tc>
          <w:tcPr>
            <w:tcW w:type="dxa" w:w="7200"/>
            <w:vAlign w:val="center"/>
          </w:tcPr>
          <w:p>
            <w:r/>
            <w:r>
              <w:rPr>
                <w:rFonts w:ascii="Aptos" w:hAnsi="Aptos"/>
                <w:b w:val="0"/>
                <w:sz w:val="18"/>
              </w:rPr>
              <w:t>Authorize preparation of Form 1023 but defer filing until the Board approves the final submission package and verified facts support the requested classification.</w:t>
            </w:r>
          </w:p>
        </w:tc>
      </w:tr>
      <w:tr>
        <w:trPr>
          <w:cantSplit/>
        </w:trPr>
        <w:tc>
          <w:tcPr>
            <w:tcW w:type="dxa" w:w="2232"/>
            <w:vAlign w:val="center"/>
          </w:tcPr>
          <w:p>
            <w:r/>
            <w:r>
              <w:rPr>
                <w:rFonts w:ascii="Aptos" w:hAnsi="Aptos"/>
                <w:b w:val="0"/>
                <w:sz w:val="18"/>
              </w:rPr>
              <w:t>Ratification</w:t>
            </w:r>
          </w:p>
        </w:tc>
        <w:tc>
          <w:tcPr>
            <w:tcW w:type="dxa" w:w="7200"/>
            <w:vAlign w:val="center"/>
          </w:tcPr>
          <w:p>
            <w:r/>
            <w:r>
              <w:rPr>
                <w:rFonts w:ascii="Aptos" w:hAnsi="Aptos"/>
                <w:b w:val="0"/>
                <w:sz w:val="18"/>
              </w:rPr>
              <w:t>Ratify specifically identified pre-incorporation or formation acts only after reviewing them; do not use blanket ratification to conceal undocumented transactions.</w:t>
            </w:r>
          </w:p>
        </w:tc>
      </w:tr>
    </w:tbl>
    <w:p>
      <w:pPr>
        <w:pStyle w:val="Heading1"/>
      </w:pPr>
      <w:r>
        <w:t>Conflict and Recusal Record</w:t>
      </w:r>
    </w:p>
    <w:p>
      <w:r>
        <w:t>For each matter involving a potential conflict, record the person, nature of interest, disclosure, whether the person left discussion/vote as required, the disinterested decision-makers, alternatives considered, vote, and basis for finding the transaction fair/reasonable to the organization.</w:t>
      </w:r>
    </w:p>
    <w:p>
      <w:pPr>
        <w:pStyle w:val="Heading1"/>
      </w:pPr>
      <w:r>
        <w:t>Certification of Minutes</w:t>
      </w:r>
    </w:p>
    <w:p>
      <w:r>
        <w:t>I certify that these minutes accurately reflect the action actually taken and were approved on [[DATE]].</w:t>
        <w:br/>
        <w:br/>
        <w:t>________________________________________</w:t>
        <w:br/>
        <w:t>[[SECRETARY / AUTHORIZED RECORDER]]</w:t>
      </w:r>
    </w:p>
    <w:p>
      <w:pPr>
        <w:pStyle w:val="Heading1"/>
      </w:pPr>
      <w:r>
        <w:t>Current Legal and Administrative References</w:t>
      </w:r>
    </w:p>
    <w:p>
      <w:r>
        <w:rPr>
          <w:b/>
        </w:rPr>
        <w:t xml:space="preserve">Tennessee director standards: </w:t>
      </w:r>
      <w:r>
        <w:t>https://law.justia.com/codes/tennessee/title-48/nonprofit-corporations/chapter-58/part-3/section-48-58-301/</w:t>
      </w:r>
    </w:p>
    <w:p>
      <w:r>
        <w:rPr>
          <w:b/>
        </w:rPr>
        <w:t xml:space="preserve">IRS Form 1023 Instructions: </w:t>
      </w:r>
      <w:r>
        <w:t>https://www.irs.gov/instructions/i1023</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Working Draft - Internal Governance / Legal &amp; Tax Review Recommended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CH-037  |  Organizational Minutes and Initial Resolutions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7"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7415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7415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