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Contribution and Offering Procedures</w:t>
      </w:r>
    </w:p>
    <w:p>
      <w:pPr>
        <w:spacing w:after="0" w:line="240" w:lineRule="auto"/>
        <w:jc w:val="left"/>
      </w:pPr>
      <w:r>
        <w:rPr>
          <w:i/>
          <w:color w:val="4B5563"/>
          <w:sz w:val="22"/>
        </w:rPr>
        <w:t>Donation intake, acknowledgments, restrictions, cash offerings, noncash gifts, and donor-integrity controls</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pPr>
              <w:spacing w:after="0" w:before="0" w:line="240" w:lineRule="auto"/>
            </w:pPr>
            <w:r/>
            <w:r>
              <w:rPr>
                <w:rFonts w:ascii="Aptos" w:hAnsi="Aptos"/>
                <w:b/>
                <w:sz w:val="18"/>
              </w:rPr>
              <w:t>Document ID</w:t>
            </w:r>
          </w:p>
        </w:tc>
        <w:tc>
          <w:tcPr>
            <w:tcW w:type="dxa" w:w="5083"/>
            <w:vAlign w:val="center"/>
          </w:tcPr>
          <w:p>
            <w:pPr>
              <w:spacing w:after="0" w:before="0" w:line="240" w:lineRule="auto"/>
            </w:pPr>
            <w:r/>
            <w:r>
              <w:rPr>
                <w:rFonts w:ascii="Aptos" w:hAnsi="Aptos"/>
                <w:b w:val="0"/>
                <w:sz w:val="18"/>
              </w:rPr>
              <w:t>CH-041</w:t>
            </w:r>
          </w:p>
        </w:tc>
      </w:tr>
      <w:tr>
        <w:tc>
          <w:tcPr>
            <w:tcW w:type="dxa" w:w="5083"/>
            <w:vAlign w:val="center"/>
            <w:shd w:fill="E5E7EB"/>
          </w:tcPr>
          <w:p>
            <w:pPr>
              <w:spacing w:after="0" w:before="0" w:line="240" w:lineRule="auto"/>
            </w:pPr>
            <w:r/>
            <w:r>
              <w:rPr>
                <w:rFonts w:ascii="Aptos" w:hAnsi="Aptos"/>
                <w:b/>
                <w:sz w:val="18"/>
              </w:rPr>
              <w:t>Version</w:t>
            </w:r>
          </w:p>
        </w:tc>
        <w:tc>
          <w:tcPr>
            <w:tcW w:type="dxa" w:w="5083"/>
            <w:vAlign w:val="center"/>
          </w:tcPr>
          <w:p>
            <w:pPr>
              <w:spacing w:after="0" w:before="0" w:line="240" w:lineRule="auto"/>
            </w:pPr>
            <w:r/>
            <w:r>
              <w:rPr>
                <w:rFonts w:ascii="Aptos" w:hAnsi="Aptos"/>
                <w:b w:val="0"/>
                <w:sz w:val="18"/>
              </w:rPr>
              <w:t>0.1.0</w:t>
            </w:r>
          </w:p>
        </w:tc>
      </w:tr>
      <w:tr>
        <w:tc>
          <w:tcPr>
            <w:tcW w:type="dxa" w:w="5083"/>
            <w:vAlign w:val="center"/>
            <w:shd w:fill="E5E7EB"/>
          </w:tcPr>
          <w:p>
            <w:pPr>
              <w:spacing w:after="0" w:before="0" w:line="240" w:lineRule="auto"/>
            </w:pPr>
            <w:r/>
            <w:r>
              <w:rPr>
                <w:rFonts w:ascii="Aptos" w:hAnsi="Aptos"/>
                <w:b/>
                <w:sz w:val="18"/>
              </w:rPr>
              <w:t>Status</w:t>
            </w:r>
          </w:p>
        </w:tc>
        <w:tc>
          <w:tcPr>
            <w:tcW w:type="dxa" w:w="5083"/>
            <w:vAlign w:val="center"/>
          </w:tcPr>
          <w:p>
            <w:pPr>
              <w:spacing w:after="0" w:before="0" w:line="240" w:lineRule="auto"/>
            </w:pPr>
            <w:r/>
            <w:r>
              <w:rPr>
                <w:rFonts w:ascii="Aptos" w:hAnsi="Aptos"/>
                <w:b w:val="0"/>
                <w:sz w:val="18"/>
              </w:rPr>
              <w:t>Provisional Working Draft</w:t>
            </w:r>
          </w:p>
        </w:tc>
      </w:tr>
      <w:tr>
        <w:tc>
          <w:tcPr>
            <w:tcW w:type="dxa" w:w="5083"/>
            <w:vAlign w:val="center"/>
            <w:shd w:fill="E5E7EB"/>
          </w:tcPr>
          <w:p>
            <w:pPr>
              <w:spacing w:after="0" w:before="0" w:line="240" w:lineRule="auto"/>
            </w:pPr>
            <w:r/>
            <w:r>
              <w:rPr>
                <w:rFonts w:ascii="Aptos" w:hAnsi="Aptos"/>
                <w:b/>
                <w:sz w:val="18"/>
              </w:rPr>
              <w:t>Entity</w:t>
            </w:r>
          </w:p>
        </w:tc>
        <w:tc>
          <w:tcPr>
            <w:tcW w:type="dxa" w:w="5083"/>
            <w:vAlign w:val="center"/>
          </w:tcPr>
          <w:p>
            <w:pPr>
              <w:spacing w:after="0" w:before="0" w:line="240" w:lineRule="auto"/>
            </w:pPr>
            <w:r/>
            <w:r>
              <w:rPr>
                <w:rFonts w:ascii="Aptos" w:hAnsi="Aptos"/>
                <w:b w:val="0"/>
                <w:sz w:val="18"/>
              </w:rPr>
              <w:t>[[CORP_NAME]]</w:t>
            </w:r>
          </w:p>
        </w:tc>
      </w:tr>
      <w:tr>
        <w:tc>
          <w:tcPr>
            <w:tcW w:type="dxa" w:w="5083"/>
            <w:vAlign w:val="center"/>
            <w:shd w:fill="E5E7EB"/>
          </w:tcPr>
          <w:p>
            <w:pPr>
              <w:spacing w:after="0" w:before="0" w:line="240" w:lineRule="auto"/>
            </w:pPr>
            <w:r/>
            <w:r>
              <w:rPr>
                <w:rFonts w:ascii="Aptos" w:hAnsi="Aptos"/>
                <w:b/>
                <w:sz w:val="18"/>
              </w:rPr>
              <w:t>Adoption</w:t>
            </w:r>
          </w:p>
        </w:tc>
        <w:tc>
          <w:tcPr>
            <w:tcW w:type="dxa" w:w="5083"/>
            <w:vAlign w:val="center"/>
          </w:tcPr>
          <w:p>
            <w:pPr>
              <w:spacing w:after="0" w:before="0" w:line="240" w:lineRule="auto"/>
            </w:pPr>
            <w:r/>
            <w:r>
              <w:rPr>
                <w:rFonts w:ascii="Aptos" w:hAnsi="Aptos"/>
                <w:b w:val="0"/>
                <w:sz w:val="18"/>
              </w:rPr>
              <w:t>Not effective until validly adopted</w:t>
            </w:r>
          </w:p>
        </w:tc>
      </w:tr>
    </w:tbl>
    <w:p>
      <w:pPr>
        <w:spacing w:after="0" w:line="240" w:lineRule="auto"/>
      </w:pPr>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Purpose</w:t>
      </w:r>
    </w:p>
    <w:p>
      <w:pPr>
        <w:spacing w:after="0" w:line="240" w:lineRule="auto"/>
      </w:pPr>
      <w:r>
        <w:t>Contributions shall be received, recorded, acknowledged, restricted, deposited, and reported in a manner that protects donor intent without allowing donors to purchase doctrine, governance, membership, discipline outcomes, or private benefits.</w:t>
      </w:r>
    </w:p>
    <w:p>
      <w:pPr>
        <w:pStyle w:val="Heading1"/>
      </w:pPr>
      <w:r>
        <w:t>Gift Intake Categories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9"/>
          </w:tcPr>
          <w:p>
            <w:pPr>
              <w:spacing w:after="0" w:before="0" w:line="240" w:lineRule="auto"/>
            </w:pPr>
            <w:r/>
            <w:r>
              <w:rPr>
                <w:rFonts w:ascii="Aptos" w:hAnsi="Aptos"/>
                <w:b/>
                <w:color w:val="FFFFFF"/>
                <w:sz w:val="18"/>
              </w:rPr>
              <w:t>Category</w:t>
            </w:r>
          </w:p>
        </w:tc>
        <w:tc>
          <w:tcPr>
            <w:tcW w:type="dxa" w:w="5083"/>
            <w:vAlign w:val="center"/>
            <w:shd w:fill="1F4E79"/>
          </w:tcPr>
          <w:p>
            <w:pPr>
              <w:spacing w:after="0" w:before="0" w:line="240" w:lineRule="auto"/>
            </w:pPr>
            <w:r/>
            <w:r>
              <w:rPr>
                <w:rFonts w:ascii="Aptos" w:hAnsi="Aptos"/>
                <w:b/>
                <w:color w:val="FFFFFF"/>
                <w:sz w:val="18"/>
              </w:rPr>
              <w:t>Treatment</w:t>
            </w:r>
          </w:p>
        </w:tc>
      </w:tr>
      <w:tr>
        <w:trPr>
          <w:cantSplit/>
        </w:trPr>
        <w:tc>
          <w:tcPr>
            <w:tcW w:type="dxa" w:w="5083"/>
            <w:vAlign w:val="center"/>
          </w:tcPr>
          <w:p>
            <w:pPr>
              <w:spacing w:after="0" w:before="0" w:line="240" w:lineRule="auto"/>
            </w:pPr>
            <w:r/>
            <w:r>
              <w:rPr>
                <w:rFonts w:ascii="Aptos" w:hAnsi="Aptos"/>
                <w:b w:val="0"/>
                <w:sz w:val="18"/>
              </w:rPr>
              <w:t>Unrestricted cash/check/electronic gift</w:t>
            </w:r>
          </w:p>
        </w:tc>
        <w:tc>
          <w:tcPr>
            <w:tcW w:type="dxa" w:w="5083"/>
            <w:vAlign w:val="center"/>
          </w:tcPr>
          <w:p>
            <w:pPr>
              <w:spacing w:after="0" w:before="0" w:line="240" w:lineRule="auto"/>
            </w:pPr>
            <w:r/>
            <w:r>
              <w:rPr>
                <w:rFonts w:ascii="Aptos" w:hAnsi="Aptos"/>
                <w:b w:val="0"/>
                <w:sz w:val="18"/>
              </w:rPr>
              <w:t>Record donor/date/amount/method; deposit to organization account; unrestricted fund unless valid restriction accepted</w:t>
            </w:r>
          </w:p>
        </w:tc>
      </w:tr>
      <w:tr>
        <w:trPr>
          <w:cantSplit/>
        </w:trPr>
        <w:tc>
          <w:tcPr>
            <w:tcW w:type="dxa" w:w="5083"/>
            <w:vAlign w:val="center"/>
          </w:tcPr>
          <w:p>
            <w:pPr>
              <w:spacing w:after="0" w:before="0" w:line="240" w:lineRule="auto"/>
            </w:pPr>
            <w:r/>
            <w:r>
              <w:rPr>
                <w:rFonts w:ascii="Aptos" w:hAnsi="Aptos"/>
                <w:b w:val="0"/>
                <w:sz w:val="18"/>
              </w:rPr>
              <w:t>Restricted contribution</w:t>
            </w:r>
          </w:p>
        </w:tc>
        <w:tc>
          <w:tcPr>
            <w:tcW w:type="dxa" w:w="5083"/>
            <w:vAlign w:val="center"/>
          </w:tcPr>
          <w:p>
            <w:pPr>
              <w:spacing w:after="0" w:before="0" w:line="240" w:lineRule="auto"/>
            </w:pPr>
            <w:r/>
            <w:r>
              <w:rPr>
                <w:rFonts w:ascii="Aptos" w:hAnsi="Aptos"/>
                <w:b w:val="0"/>
                <w:sz w:val="18"/>
              </w:rPr>
              <w:t>Accept only if restriction is lawful, feasible, consistent with exempt purposes, and approved under policy; track restriction separately</w:t>
            </w:r>
          </w:p>
        </w:tc>
      </w:tr>
      <w:tr>
        <w:trPr>
          <w:cantSplit/>
        </w:trPr>
        <w:tc>
          <w:tcPr>
            <w:tcW w:type="dxa" w:w="5083"/>
            <w:vAlign w:val="center"/>
          </w:tcPr>
          <w:p>
            <w:pPr>
              <w:spacing w:after="0" w:before="0" w:line="240" w:lineRule="auto"/>
            </w:pPr>
            <w:r/>
            <w:r>
              <w:rPr>
                <w:rFonts w:ascii="Aptos" w:hAnsi="Aptos"/>
                <w:b w:val="0"/>
                <w:sz w:val="18"/>
              </w:rPr>
              <w:t>Anonymous gift</w:t>
            </w:r>
          </w:p>
        </w:tc>
        <w:tc>
          <w:tcPr>
            <w:tcW w:type="dxa" w:w="5083"/>
            <w:vAlign w:val="center"/>
          </w:tcPr>
          <w:p>
            <w:pPr>
              <w:spacing w:after="0" w:before="0" w:line="240" w:lineRule="auto"/>
            </w:pPr>
            <w:r/>
            <w:r>
              <w:rPr>
                <w:rFonts w:ascii="Aptos" w:hAnsi="Aptos"/>
                <w:b w:val="0"/>
                <w:sz w:val="18"/>
              </w:rPr>
              <w:t>Record as anonymous while retaining available transaction evidence; enhanced review may be appropriate for unusually large gifts</w:t>
            </w:r>
          </w:p>
        </w:tc>
      </w:tr>
      <w:tr>
        <w:trPr>
          <w:cantSplit/>
        </w:trPr>
        <w:tc>
          <w:tcPr>
            <w:tcW w:type="dxa" w:w="5083"/>
            <w:vAlign w:val="center"/>
          </w:tcPr>
          <w:p>
            <w:pPr>
              <w:spacing w:after="0" w:before="0" w:line="240" w:lineRule="auto"/>
            </w:pPr>
            <w:r/>
            <w:r>
              <w:rPr>
                <w:rFonts w:ascii="Aptos" w:hAnsi="Aptos"/>
                <w:b w:val="0"/>
                <w:sz w:val="18"/>
              </w:rPr>
              <w:t>Noncash property</w:t>
            </w:r>
          </w:p>
        </w:tc>
        <w:tc>
          <w:tcPr>
            <w:tcW w:type="dxa" w:w="5083"/>
            <w:vAlign w:val="center"/>
          </w:tcPr>
          <w:p>
            <w:pPr>
              <w:spacing w:after="0" w:before="0" w:line="240" w:lineRule="auto"/>
            </w:pPr>
            <w:r/>
            <w:r>
              <w:rPr>
                <w:rFonts w:ascii="Aptos" w:hAnsi="Aptos"/>
                <w:b w:val="0"/>
                <w:sz w:val="18"/>
              </w:rPr>
              <w:t>Describe property without providing donor tax valuation; obtain review for unusual, illiquid, hazardous, title-sensitive, or high-value property</w:t>
            </w:r>
          </w:p>
        </w:tc>
      </w:tr>
      <w:tr>
        <w:trPr>
          <w:cantSplit/>
        </w:trPr>
        <w:tc>
          <w:tcPr>
            <w:tcW w:type="dxa" w:w="5083"/>
            <w:vAlign w:val="center"/>
          </w:tcPr>
          <w:p>
            <w:pPr>
              <w:spacing w:after="0" w:before="0" w:line="240" w:lineRule="auto"/>
            </w:pPr>
            <w:r/>
            <w:r>
              <w:rPr>
                <w:rFonts w:ascii="Aptos" w:hAnsi="Aptos"/>
                <w:b w:val="0"/>
                <w:sz w:val="18"/>
              </w:rPr>
              <w:t>Quid pro quo payment</w:t>
            </w:r>
          </w:p>
        </w:tc>
        <w:tc>
          <w:tcPr>
            <w:tcW w:type="dxa" w:w="5083"/>
            <w:vAlign w:val="center"/>
          </w:tcPr>
          <w:p>
            <w:pPr>
              <w:spacing w:after="0" w:before="0" w:line="240" w:lineRule="auto"/>
            </w:pPr>
            <w:r/>
            <w:r>
              <w:rPr>
                <w:rFonts w:ascii="Aptos" w:hAnsi="Aptos"/>
                <w:b w:val="0"/>
                <w:sz w:val="18"/>
              </w:rPr>
              <w:t>Separate contribution element from goods/services; provide required disclosure when applicable</w:t>
            </w:r>
          </w:p>
        </w:tc>
      </w:tr>
      <w:tr>
        <w:trPr>
          <w:cantSplit/>
        </w:trPr>
        <w:tc>
          <w:tcPr>
            <w:tcW w:type="dxa" w:w="5083"/>
            <w:vAlign w:val="center"/>
          </w:tcPr>
          <w:p>
            <w:pPr>
              <w:spacing w:after="0" w:before="0" w:line="240" w:lineRule="auto"/>
            </w:pPr>
            <w:r/>
            <w:r>
              <w:rPr>
                <w:rFonts w:ascii="Aptos" w:hAnsi="Aptos"/>
                <w:b w:val="0"/>
                <w:sz w:val="18"/>
              </w:rPr>
              <w:t>Designated benevolence gift</w:t>
            </w:r>
          </w:p>
        </w:tc>
        <w:tc>
          <w:tcPr>
            <w:tcW w:type="dxa" w:w="5083"/>
            <w:vAlign w:val="center"/>
          </w:tcPr>
          <w:p>
            <w:pPr>
              <w:spacing w:after="0" w:before="0" w:line="240" w:lineRule="auto"/>
            </w:pPr>
            <w:r/>
            <w:r>
              <w:rPr>
                <w:rFonts w:ascii="Aptos" w:hAnsi="Aptos"/>
                <w:b w:val="0"/>
                <w:sz w:val="18"/>
              </w:rPr>
              <w:t>Do not promise deductibility for gifts earmarked for a specific individual; use organization-controlled benevolence criteria and discretion</w:t>
            </w:r>
          </w:p>
        </w:tc>
      </w:tr>
      <w:tr>
        <w:trPr>
          <w:cantSplit/>
        </w:trPr>
        <w:tc>
          <w:tcPr>
            <w:tcW w:type="dxa" w:w="5083"/>
            <w:vAlign w:val="center"/>
          </w:tcPr>
          <w:p>
            <w:pPr>
              <w:spacing w:after="0" w:before="0" w:line="240" w:lineRule="auto"/>
            </w:pPr>
            <w:r/>
            <w:r>
              <w:rPr>
                <w:rFonts w:ascii="Aptos" w:hAnsi="Aptos"/>
                <w:b w:val="0"/>
                <w:sz w:val="18"/>
              </w:rPr>
              <w:t>Cryptocurrency / securities / complex assets</w:t>
            </w:r>
          </w:p>
        </w:tc>
        <w:tc>
          <w:tcPr>
            <w:tcW w:type="dxa" w:w="5083"/>
            <w:vAlign w:val="center"/>
          </w:tcPr>
          <w:p>
            <w:pPr>
              <w:spacing w:after="0" w:before="0" w:line="240" w:lineRule="auto"/>
            </w:pPr>
            <w:r/>
            <w:r>
              <w:rPr>
                <w:rFonts w:ascii="Aptos" w:hAnsi="Aptos"/>
                <w:b w:val="0"/>
                <w:sz w:val="18"/>
              </w:rPr>
              <w:t>Accept only through approved process with custody, valuation, liquidation, sanctions/compliance, and accounting controls</w:t>
            </w:r>
          </w:p>
        </w:tc>
      </w:tr>
    </w:tbl>
    <w:p>
      <w:pPr>
        <w:pStyle w:val="Heading1"/>
      </w:pPr>
      <w:r>
        <w:t>Acknowledgment Standard</w:t>
      </w:r>
    </w:p>
    <w:p>
      <w:pPr>
        <w:spacing w:after="0" w:line="240" w:lineRule="auto"/>
      </w:pPr>
      <w:r>
        <w:t>For contributions of $250 or more, donors generally need a contemporaneous written acknowledgment to substantiate a deduction. The acknowledgment should identify the organization, amount of cash or description (not donor tax value) of noncash property, and state whether goods or services were provided; if only intangible religious benefits were provided, the acknowledgment should say so. Current IRS guidance also requires disclosure for quid pro quo contributions over $75.</w:t>
      </w:r>
    </w:p>
    <w:p>
      <w:pPr>
        <w:pStyle w:val="Heading1"/>
      </w:pPr>
      <w:r>
        <w:t>Acknowledgment Template</w:t>
      </w:r>
    </w:p>
    <w:p>
      <w:pPr>
        <w:spacing w:after="0" w:line="240" w:lineRule="auto"/>
      </w:pPr>
      <w:r>
        <w:t>Thank you for your contribution of [[AMOUNT / DESCRIPTION OF PROPERTY]] to [[CORP_NAME]] on [[DATE]]. [[No goods or services were provided in exchange for this contribution / Goods or services described as follows were provided, with a good-faith estimated value of [[VALUE]] / The only goods or services provided consisted of intangible religious benefits.]] No statement in this acknowledgment constitutes a donor tax valuation of contributed property.</w:t>
      </w:r>
    </w:p>
    <w:p>
      <w:pPr>
        <w:pStyle w:val="Heading1"/>
      </w:pPr>
      <w:r>
        <w:t>Offering Workflow</w:t>
      </w:r>
    </w:p>
    <w:p>
      <w:pPr>
        <w:pStyle w:val="ListNumber"/>
      </w:pPr>
      <w:r>
        <w:t>Receive funds through approved channels.</w:t>
      </w:r>
    </w:p>
    <w:p>
      <w:pPr>
        <w:pStyle w:val="ListNumber"/>
      </w:pPr>
      <w:r>
        <w:t>Create source record: date, amount, donor if known, fund/restriction, payment method, service/event or campaign.</w:t>
      </w:r>
    </w:p>
    <w:p>
      <w:pPr>
        <w:pStyle w:val="ListNumber"/>
      </w:pPr>
      <w:r>
        <w:t>For cash, use CH-040 count controls and deposit record.</w:t>
      </w:r>
    </w:p>
    <w:p>
      <w:pPr>
        <w:pStyle w:val="ListNumber"/>
      </w:pPr>
      <w:r>
        <w:t>Review donor restrictions before coding as restricted.</w:t>
      </w:r>
    </w:p>
    <w:p>
      <w:pPr>
        <w:pStyle w:val="ListNumber"/>
      </w:pPr>
      <w:r>
        <w:t>Issue acknowledgment/disclosure where required or as a matter of consistent donor practice.</w:t>
      </w:r>
    </w:p>
    <w:p>
      <w:pPr>
        <w:pStyle w:val="ListNumber"/>
      </w:pPr>
      <w:r>
        <w:t>Reconcile contribution ledger to deposits and processor statements.</w:t>
      </w:r>
    </w:p>
    <w:p>
      <w:pPr>
        <w:pStyle w:val="ListNumber"/>
      </w:pPr>
      <w:r>
        <w:t>Preserve donor communications establishing restrictions or conditions.</w:t>
      </w:r>
    </w:p>
    <w:p>
      <w:pPr>
        <w:pStyle w:val="Heading1"/>
      </w:pPr>
      <w:r>
        <w:t>Prohibited Practices</w:t>
      </w:r>
    </w:p>
    <w:p>
      <w:pPr>
        <w:pStyle w:val="ListBullet"/>
      </w:pPr>
      <w:r>
        <w:t>Promising governance, religious office, doctrine, access, discipline outcomes, or spiritual status in exchange for gifts.</w:t>
      </w:r>
    </w:p>
    <w:p>
      <w:pPr>
        <w:pStyle w:val="ListBullet"/>
      </w:pPr>
      <w:r>
        <w:t>Using donor-directed funds for a different purpose without lawful authority or donor modification where necessary.</w:t>
      </w:r>
    </w:p>
    <w:p>
      <w:pPr>
        <w:pStyle w:val="ListBullet"/>
      </w:pPr>
      <w:r>
        <w:t>Issuing a tax receipt that falsely states no goods/services were provided.</w:t>
      </w:r>
    </w:p>
    <w:p>
      <w:pPr>
        <w:pStyle w:val="ListBullet"/>
      </w:pPr>
      <w:r>
        <w:t>Assigning a tax value to donated property on the donor's behalf except where a specific reporting rule requires organizational information.</w:t>
      </w:r>
    </w:p>
    <w:p>
      <w:pPr>
        <w:pStyle w:val="ListBullet"/>
      </w:pPr>
      <w:r>
        <w:t>Depositing offerings into a personal account as an informal convenience.</w:t>
      </w:r>
    </w:p>
    <w:p>
      <w:pPr>
        <w:pStyle w:val="Heading1"/>
      </w:pPr>
      <w:r>
        <w:t>Current Legal and Administrative References</w:t>
      </w:r>
    </w:p>
    <w:p>
      <w:pPr>
        <w:spacing w:after="0" w:line="240" w:lineRule="auto"/>
      </w:pPr>
      <w:r>
        <w:rPr>
          <w:b/>
        </w:rPr>
        <w:t xml:space="preserve">IRS written acknowledgments: </w:t>
      </w:r>
      <w:r>
        <w:t>https://www.irs.gov/charities-non-profits/charitable-organizations/charitable-contributions-written-acknowledgments</w:t>
      </w:r>
    </w:p>
    <w:p>
      <w:pPr>
        <w:spacing w:after="0" w:line="240" w:lineRule="auto"/>
      </w:pPr>
      <w:r>
        <w:rPr>
          <w:b/>
        </w:rPr>
        <w:t xml:space="preserve">IRS quid pro quo contributions: </w:t>
      </w:r>
      <w:r>
        <w:t>https://www.irs.gov/charities-non-profits/charitable-organizations/charitable-contributions-quid-pro-quo-contributions</w:t>
      </w:r>
    </w:p>
    <w:p>
      <w:pPr>
        <w:spacing w:after="0" w:line="240" w:lineRule="auto"/>
      </w:pPr>
      <w:r>
        <w:rPr>
          <w:b/>
        </w:rPr>
        <w:t xml:space="preserve">IRS substantiation and disclosure: </w:t>
      </w:r>
      <w:r>
        <w:t>https://www.irs.gov/charities-non-profits/charitable-organizations/charitable-organizations-substantiation-and-disclosure-requirements</w:t>
      </w:r>
    </w:p>
    <w:p>
      <w:pPr>
        <w:pStyle w:val="Heading1"/>
      </w:pPr>
      <w:r>
        <w:t>Adoption and Certification</w:t>
      </w:r>
    </w:p>
    <w:p>
      <w:pPr>
        <w:spacing w:after="0" w:line="240" w:lineRule="auto"/>
      </w:pPr>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pPr>
              <w:spacing w:after="0" w:before="0" w:line="240" w:lineRule="auto"/>
            </w:pPr>
            <w:r/>
            <w:r>
              <w:rPr>
                <w:rFonts w:ascii="Aptos" w:hAnsi="Aptos"/>
                <w:b/>
                <w:color w:val="FFFFFF"/>
                <w:sz w:val="18"/>
              </w:rPr>
              <w:t>Field</w:t>
            </w:r>
          </w:p>
        </w:tc>
        <w:tc>
          <w:tcPr>
            <w:tcW w:type="dxa" w:w="6480"/>
            <w:vAlign w:val="center"/>
            <w:shd w:fill="1F4E79"/>
          </w:tcPr>
          <w:p>
            <w:pPr>
              <w:spacing w:after="0" w:before="0" w:line="240" w:lineRule="auto"/>
            </w:pPr>
            <w:r/>
            <w:r>
              <w:rPr>
                <w:rFonts w:ascii="Aptos" w:hAnsi="Aptos"/>
                <w:b/>
                <w:color w:val="FFFFFF"/>
                <w:sz w:val="18"/>
              </w:rPr>
              <w:t>Entry</w:t>
            </w:r>
          </w:p>
        </w:tc>
      </w:tr>
      <w:tr>
        <w:trPr>
          <w:cantSplit/>
        </w:trPr>
        <w:tc>
          <w:tcPr>
            <w:tcW w:type="dxa" w:w="2880"/>
            <w:vAlign w:val="center"/>
          </w:tcPr>
          <w:p>
            <w:pPr>
              <w:spacing w:after="0" w:before="0" w:line="240" w:lineRule="auto"/>
            </w:pPr>
            <w:r/>
            <w:r>
              <w:rPr>
                <w:rFonts w:ascii="Aptos" w:hAnsi="Aptos"/>
                <w:b w:val="0"/>
                <w:sz w:val="18"/>
              </w:rPr>
              <w:t>Organization</w:t>
            </w:r>
          </w:p>
        </w:tc>
        <w:tc>
          <w:tcPr>
            <w:tcW w:type="dxa" w:w="6480"/>
            <w:vAlign w:val="center"/>
          </w:tcPr>
          <w:p>
            <w:pPr>
              <w:spacing w:after="0" w:before="0" w:line="240" w:lineRule="auto"/>
            </w:pPr>
            <w:r/>
            <w:r>
              <w:rPr>
                <w:rFonts w:ascii="Aptos" w:hAnsi="Aptos"/>
                <w:b w:val="0"/>
                <w:sz w:val="18"/>
              </w:rPr>
              <w:t>[[CORP_NAME]]</w:t>
            </w:r>
          </w:p>
        </w:tc>
      </w:tr>
      <w:tr>
        <w:trPr>
          <w:cantSplit/>
        </w:trPr>
        <w:tc>
          <w:tcPr>
            <w:tcW w:type="dxa" w:w="2880"/>
            <w:vAlign w:val="center"/>
          </w:tcPr>
          <w:p>
            <w:pPr>
              <w:spacing w:after="0" w:before="0" w:line="240" w:lineRule="auto"/>
            </w:pPr>
            <w:r/>
            <w:r>
              <w:rPr>
                <w:rFonts w:ascii="Aptos" w:hAnsi="Aptos"/>
                <w:b w:val="0"/>
                <w:sz w:val="18"/>
              </w:rPr>
              <w:t>Date of Adoption</w:t>
            </w:r>
          </w:p>
        </w:tc>
        <w:tc>
          <w:tcPr>
            <w:tcW w:type="dxa" w:w="6480"/>
            <w:vAlign w:val="center"/>
          </w:tcPr>
          <w:p>
            <w:pPr>
              <w:spacing w:after="0" w:before="0" w:line="240" w:lineRule="auto"/>
            </w:pPr>
            <w:r/>
            <w:r>
              <w:rPr>
                <w:rFonts w:ascii="Aptos" w:hAnsi="Aptos"/>
                <w:b w:val="0"/>
                <w:sz w:val="18"/>
              </w:rPr>
              <w:t>[[DATE]]</w:t>
            </w:r>
          </w:p>
        </w:tc>
      </w:tr>
      <w:tr>
        <w:trPr>
          <w:cantSplit/>
        </w:trPr>
        <w:tc>
          <w:tcPr>
            <w:tcW w:type="dxa" w:w="2880"/>
            <w:vAlign w:val="center"/>
          </w:tcPr>
          <w:p>
            <w:pPr>
              <w:spacing w:after="0" w:before="0" w:line="240" w:lineRule="auto"/>
            </w:pPr>
            <w:r/>
            <w:r>
              <w:rPr>
                <w:rFonts w:ascii="Aptos" w:hAnsi="Aptos"/>
                <w:b w:val="0"/>
                <w:sz w:val="18"/>
              </w:rPr>
              <w:t>Adopting Authority</w:t>
            </w:r>
          </w:p>
        </w:tc>
        <w:tc>
          <w:tcPr>
            <w:tcW w:type="dxa" w:w="6480"/>
            <w:vAlign w:val="center"/>
          </w:tcPr>
          <w:p>
            <w:pPr>
              <w:spacing w:after="0" w:before="0" w:line="240" w:lineRule="auto"/>
            </w:pPr>
            <w:r/>
            <w:r>
              <w:rPr>
                <w:rFonts w:ascii="Aptos" w:hAnsi="Aptos"/>
                <w:b w:val="0"/>
                <w:sz w:val="18"/>
              </w:rPr>
              <w:t>Civil Board of Directors</w:t>
            </w:r>
          </w:p>
        </w:tc>
      </w:tr>
      <w:tr>
        <w:trPr>
          <w:cantSplit/>
        </w:trPr>
        <w:tc>
          <w:tcPr>
            <w:tcW w:type="dxa" w:w="2880"/>
            <w:vAlign w:val="center"/>
          </w:tcPr>
          <w:p>
            <w:pPr>
              <w:spacing w:after="0" w:before="0" w:line="240" w:lineRule="auto"/>
            </w:pPr>
            <w:r/>
            <w:r>
              <w:rPr>
                <w:rFonts w:ascii="Aptos" w:hAnsi="Aptos"/>
                <w:b w:val="0"/>
                <w:sz w:val="18"/>
              </w:rPr>
              <w:t>Approval / Resolution</w:t>
            </w:r>
          </w:p>
        </w:tc>
        <w:tc>
          <w:tcPr>
            <w:tcW w:type="dxa" w:w="6480"/>
            <w:vAlign w:val="center"/>
          </w:tcPr>
          <w:p>
            <w:pPr>
              <w:spacing w:after="0" w:before="0" w:line="240" w:lineRule="auto"/>
            </w:pPr>
            <w:r/>
            <w:r>
              <w:rPr>
                <w:rFonts w:ascii="Aptos" w:hAnsi="Aptos"/>
                <w:b w:val="0"/>
                <w:sz w:val="18"/>
              </w:rPr>
              <w:t>[[APPROVAL_RECORD]]</w:t>
            </w:r>
          </w:p>
        </w:tc>
      </w:tr>
      <w:tr>
        <w:tc>
          <w:tcPr>
            <w:tcW w:type="dxa" w:w="5083"/>
          </w:tcPr>
          <w:p>
            <w:r>
              <w:t>Certification / Signature</w:t>
            </w:r>
          </w:p>
        </w:tc>
        <w:tc>
          <w:tcPr>
            <w:tcW w:type="dxa" w:w="5083"/>
          </w:tcPr>
          <w:p>
            <w:r>
              <w:t>[[NAME / OFFICE]]  [[DATE]]</w:t>
            </w:r>
          </w:p>
        </w:tc>
      </w:tr>
    </w:tbl>
    <w:sectPr w:rsidR="00FC693F" w:rsidRPr="0006063C" w:rsidSect="00034616">
      <w:headerReference w:type="default" r:id="rId9"/>
      <w:footerReference w:type="default" r:id="rId10"/>
      <w:pgSz w:w="12240" w:h="15840"/>
      <w:pgMar w:top="792" w:right="1037" w:bottom="64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CH-041  |  Contribution and Offering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