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Records-Retention Policy</w:t>
      </w:r>
    </w:p>
    <w:p>
      <w:pPr>
        <w:jc w:val="left"/>
      </w:pPr>
      <w:r>
        <w:rPr>
          <w:i/>
          <w:color w:val="4B5563"/>
          <w:sz w:val="22"/>
        </w:rPr>
        <w:t>Permanent governance, tax, financial, religious, membership, ministry, safeguarding, and operational records</w:t>
      </w:r>
    </w:p>
    <w:tbl>
      <w:tblPr>
        <w:tblStyle w:val="TableGrid"/>
        <w:tblW w:type="auto" w:w="0"/>
        <w:jc w:val="left"/>
        <w:tblLook w:firstColumn="1" w:firstRow="1" w:lastColumn="0" w:lastRow="0" w:noHBand="0" w:noVBand="1" w:val="04A0"/>
      </w:tblPr>
      <w:tblGrid>
        <w:gridCol w:w="5083"/>
        <w:gridCol w:w="5083"/>
      </w:tblGrid>
      <w:tr>
        <w:tc>
          <w:tcPr>
            <w:tcW w:type="dxa" w:w="5083"/>
            <w:vAlign w:val="center"/>
            <w:shd w:fill="E5E7EB"/>
          </w:tcPr>
          <w:p>
            <w:r/>
            <w:r>
              <w:rPr>
                <w:rFonts w:ascii="Aptos" w:hAnsi="Aptos"/>
                <w:b/>
                <w:sz w:val="18"/>
              </w:rPr>
              <w:t>Document ID</w:t>
            </w:r>
          </w:p>
        </w:tc>
        <w:tc>
          <w:tcPr>
            <w:tcW w:type="dxa" w:w="5083"/>
            <w:vAlign w:val="center"/>
          </w:tcPr>
          <w:p>
            <w:r/>
            <w:r>
              <w:rPr>
                <w:rFonts w:ascii="Aptos" w:hAnsi="Aptos"/>
                <w:b w:val="0"/>
                <w:sz w:val="18"/>
              </w:rPr>
              <w:t>CH-048</w:t>
            </w:r>
          </w:p>
        </w:tc>
      </w:tr>
      <w:tr>
        <w:tc>
          <w:tcPr>
            <w:tcW w:type="dxa" w:w="5083"/>
            <w:vAlign w:val="center"/>
            <w:shd w:fill="E5E7EB"/>
          </w:tcPr>
          <w:p>
            <w:r/>
            <w:r>
              <w:rPr>
                <w:rFonts w:ascii="Aptos" w:hAnsi="Aptos"/>
                <w:b/>
                <w:sz w:val="18"/>
              </w:rPr>
              <w:t>Version</w:t>
            </w:r>
          </w:p>
        </w:tc>
        <w:tc>
          <w:tcPr>
            <w:tcW w:type="dxa" w:w="5083"/>
            <w:vAlign w:val="center"/>
          </w:tcPr>
          <w:p>
            <w:r/>
            <w:r>
              <w:rPr>
                <w:rFonts w:ascii="Aptos" w:hAnsi="Aptos"/>
                <w:b w:val="0"/>
                <w:sz w:val="18"/>
              </w:rPr>
              <w:t>0.1.0</w:t>
            </w:r>
          </w:p>
        </w:tc>
      </w:tr>
      <w:tr>
        <w:tc>
          <w:tcPr>
            <w:tcW w:type="dxa" w:w="5083"/>
            <w:vAlign w:val="center"/>
            <w:shd w:fill="E5E7EB"/>
          </w:tcPr>
          <w:p>
            <w:r/>
            <w:r>
              <w:rPr>
                <w:rFonts w:ascii="Aptos" w:hAnsi="Aptos"/>
                <w:b/>
                <w:sz w:val="18"/>
              </w:rPr>
              <w:t>Status</w:t>
            </w:r>
          </w:p>
        </w:tc>
        <w:tc>
          <w:tcPr>
            <w:tcW w:type="dxa" w:w="5083"/>
            <w:vAlign w:val="center"/>
          </w:tcPr>
          <w:p>
            <w:r/>
            <w:r>
              <w:rPr>
                <w:rFonts w:ascii="Aptos" w:hAnsi="Aptos"/>
                <w:b w:val="0"/>
                <w:sz w:val="18"/>
              </w:rPr>
              <w:t>Provisional Working Draft</w:t>
            </w:r>
          </w:p>
        </w:tc>
      </w:tr>
      <w:tr>
        <w:tc>
          <w:tcPr>
            <w:tcW w:type="dxa" w:w="5083"/>
            <w:vAlign w:val="center"/>
            <w:shd w:fill="E5E7EB"/>
          </w:tcPr>
          <w:p>
            <w:r/>
            <w:r>
              <w:rPr>
                <w:rFonts w:ascii="Aptos" w:hAnsi="Aptos"/>
                <w:b/>
                <w:sz w:val="18"/>
              </w:rPr>
              <w:t>Entity</w:t>
            </w:r>
          </w:p>
        </w:tc>
        <w:tc>
          <w:tcPr>
            <w:tcW w:type="dxa" w:w="5083"/>
            <w:vAlign w:val="center"/>
          </w:tcPr>
          <w:p>
            <w:r/>
            <w:r>
              <w:rPr>
                <w:rFonts w:ascii="Aptos" w:hAnsi="Aptos"/>
                <w:b w:val="0"/>
                <w:sz w:val="18"/>
              </w:rPr>
              <w:t>[[CORP_NAME]]</w:t>
            </w:r>
          </w:p>
        </w:tc>
      </w:tr>
      <w:tr>
        <w:tc>
          <w:tcPr>
            <w:tcW w:type="dxa" w:w="5083"/>
            <w:vAlign w:val="center"/>
            <w:shd w:fill="E5E7EB"/>
          </w:tcPr>
          <w:p>
            <w:r/>
            <w:r>
              <w:rPr>
                <w:rFonts w:ascii="Aptos" w:hAnsi="Aptos"/>
                <w:b/>
                <w:sz w:val="18"/>
              </w:rPr>
              <w:t>Adoption</w:t>
            </w:r>
          </w:p>
        </w:tc>
        <w:tc>
          <w:tcPr>
            <w:tcW w:type="dxa" w:w="5083"/>
            <w:vAlign w:val="center"/>
          </w:tcPr>
          <w:p>
            <w:r/>
            <w:r>
              <w:rPr>
                <w:rFonts w:ascii="Aptos" w:hAnsi="Aptos"/>
                <w:b w:val="0"/>
                <w:sz w:val="18"/>
              </w:rPr>
              <w:t>Not effective until validly adopted</w:t>
            </w:r>
          </w:p>
        </w:tc>
      </w:tr>
    </w:tbl>
    <w:p>
      <w:r>
        <w:rPr>
          <w:b/>
        </w:rPr>
        <w:t xml:space="preserve">Drafting notice. </w:t>
      </w:r>
      <w:r>
        <w:t>This instrument is a governance/compliance working draft. It does not create facts that have not occurred, does not replace professional legal or tax advice, and must be conformed to verified organizational facts before adoption or filing.</w:t>
      </w:r>
    </w:p>
    <w:p>
      <w:pPr>
        <w:pStyle w:val="Heading1"/>
      </w:pPr>
      <w:r>
        <w:t>Principle</w:t>
      </w:r>
    </w:p>
    <w:p>
      <w:r>
        <w:t>The organization shall preserve records needed to demonstrate what it did, why it acted, what funds it received and spent, who possessed authority, what donor restrictions applied, and whether it complied with tax and governance requirements. Destruction shall be suspended whenever litigation, investigation, audit, claim, subpoena, safeguarding matter, or other preservation duty is pending or reasonably anticipated.</w:t>
      </w:r>
    </w:p>
    <w:p>
      <w:pPr>
        <w:pStyle w:val="Heading1"/>
      </w:pPr>
      <w:r>
        <w:t>Retention Schedule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vAlign w:val="center"/>
            <w:shd w:fill="1F4E79"/>
          </w:tcPr>
          <w:p>
            <w:r/>
            <w:r>
              <w:rPr>
                <w:rFonts w:ascii="Aptos" w:hAnsi="Aptos"/>
                <w:b/>
                <w:color w:val="FFFFFF"/>
                <w:sz w:val="18"/>
              </w:rPr>
              <w:t>Retention Class</w:t>
            </w:r>
          </w:p>
        </w:tc>
        <w:tc>
          <w:tcPr>
            <w:tcW w:type="dxa" w:w="7056"/>
            <w:vAlign w:val="center"/>
            <w:shd w:fill="1F4E79"/>
          </w:tcPr>
          <w:p>
            <w:r/>
            <w:r>
              <w:rPr>
                <w:rFonts w:ascii="Aptos" w:hAnsi="Aptos"/>
                <w:b/>
                <w:color w:val="FFFFFF"/>
                <w:sz w:val="18"/>
              </w:rPr>
              <w:t>Records</w:t>
            </w:r>
          </w:p>
        </w:tc>
      </w:tr>
      <w:tr>
        <w:trPr>
          <w:cantSplit/>
        </w:trPr>
        <w:tc>
          <w:tcPr>
            <w:tcW w:type="dxa" w:w="2376"/>
            <w:vAlign w:val="center"/>
          </w:tcPr>
          <w:p>
            <w:r/>
            <w:r>
              <w:rPr>
                <w:rFonts w:ascii="Aptos" w:hAnsi="Aptos"/>
                <w:b w:val="0"/>
                <w:sz w:val="18"/>
              </w:rPr>
              <w:t>Permanent</w:t>
            </w:r>
          </w:p>
        </w:tc>
        <w:tc>
          <w:tcPr>
            <w:tcW w:type="dxa" w:w="7056"/>
            <w:vAlign w:val="center"/>
          </w:tcPr>
          <w:p>
            <w:r/>
            <w:r>
              <w:rPr>
                <w:rFonts w:ascii="Aptos" w:hAnsi="Aptos"/>
                <w:b w:val="0"/>
                <w:sz w:val="18"/>
              </w:rPr>
              <w:t>Charter, amendments, bylaws, constitutions, determination letters, EIN, major property titles, major doctrinal instruments, Board/ecclesiastical minutes, major resolutions, credential issuance/revocation history, annual financial statements, IRS/state filings, significant restricted-gift instruments</w:t>
            </w:r>
          </w:p>
        </w:tc>
      </w:tr>
      <w:tr>
        <w:trPr>
          <w:cantSplit/>
        </w:trPr>
        <w:tc>
          <w:tcPr>
            <w:tcW w:type="dxa" w:w="2376"/>
            <w:vAlign w:val="center"/>
          </w:tcPr>
          <w:p>
            <w:r/>
            <w:r>
              <w:rPr>
                <w:rFonts w:ascii="Aptos" w:hAnsi="Aptos"/>
                <w:b w:val="0"/>
                <w:sz w:val="18"/>
              </w:rPr>
              <w:t>Permanent or life of institution + archival</w:t>
            </w:r>
          </w:p>
        </w:tc>
        <w:tc>
          <w:tcPr>
            <w:tcW w:type="dxa" w:w="7056"/>
            <w:vAlign w:val="center"/>
          </w:tcPr>
          <w:p>
            <w:r/>
            <w:r>
              <w:rPr>
                <w:rFonts w:ascii="Aptos" w:hAnsi="Aptos"/>
                <w:b w:val="0"/>
                <w:sz w:val="18"/>
              </w:rPr>
              <w:t>Membership history/status register; ministerial personnel/credential registry; religious-history archive; service history summaries; major disciplinary/safeguarding findings subject to privacy and legal review</w:t>
            </w:r>
          </w:p>
        </w:tc>
      </w:tr>
      <w:tr>
        <w:trPr>
          <w:cantSplit/>
        </w:trPr>
        <w:tc>
          <w:tcPr>
            <w:tcW w:type="dxa" w:w="2376"/>
            <w:vAlign w:val="center"/>
          </w:tcPr>
          <w:p>
            <w:r/>
            <w:r>
              <w:rPr>
                <w:rFonts w:ascii="Aptos" w:hAnsi="Aptos"/>
                <w:b w:val="0"/>
                <w:sz w:val="18"/>
              </w:rPr>
              <w:t>7 years minimum internal baseline</w:t>
            </w:r>
          </w:p>
        </w:tc>
        <w:tc>
          <w:tcPr>
            <w:tcW w:type="dxa" w:w="7056"/>
            <w:vAlign w:val="center"/>
          </w:tcPr>
          <w:p>
            <w:r/>
            <w:r>
              <w:rPr>
                <w:rFonts w:ascii="Aptos" w:hAnsi="Aptos"/>
                <w:b w:val="0"/>
                <w:sz w:val="18"/>
              </w:rPr>
              <w:t>General ledger support, bank statements, reconciliations, receipts/invoices, contribution records, expense reports, routine contracts after expiration, payroll support, grant expenditure support, routine related-party files</w:t>
            </w:r>
          </w:p>
        </w:tc>
      </w:tr>
      <w:tr>
        <w:trPr>
          <w:cantSplit/>
        </w:trPr>
        <w:tc>
          <w:tcPr>
            <w:tcW w:type="dxa" w:w="2376"/>
            <w:vAlign w:val="center"/>
          </w:tcPr>
          <w:p>
            <w:r/>
            <w:r>
              <w:rPr>
                <w:rFonts w:ascii="Aptos" w:hAnsi="Aptos"/>
                <w:b w:val="0"/>
                <w:sz w:val="18"/>
              </w:rPr>
              <w:t>7 years after supersession</w:t>
            </w:r>
          </w:p>
        </w:tc>
        <w:tc>
          <w:tcPr>
            <w:tcW w:type="dxa" w:w="7056"/>
            <w:vAlign w:val="center"/>
          </w:tcPr>
          <w:p>
            <w:r/>
            <w:r>
              <w:rPr>
                <w:rFonts w:ascii="Aptos" w:hAnsi="Aptos"/>
                <w:b w:val="0"/>
                <w:sz w:val="18"/>
              </w:rPr>
              <w:t>Ordinary policies/procedures, program curricula, administrative manuals unless historically significant</w:t>
            </w:r>
          </w:p>
        </w:tc>
      </w:tr>
      <w:tr>
        <w:trPr>
          <w:cantSplit/>
        </w:trPr>
        <w:tc>
          <w:tcPr>
            <w:tcW w:type="dxa" w:w="2376"/>
            <w:vAlign w:val="center"/>
          </w:tcPr>
          <w:p>
            <w:r/>
            <w:r>
              <w:rPr>
                <w:rFonts w:ascii="Aptos" w:hAnsi="Aptos"/>
                <w:b w:val="0"/>
                <w:sz w:val="18"/>
              </w:rPr>
              <w:t>3-7 years based on legal/operational need</w:t>
            </w:r>
          </w:p>
        </w:tc>
        <w:tc>
          <w:tcPr>
            <w:tcW w:type="dxa" w:w="7056"/>
            <w:vAlign w:val="center"/>
          </w:tcPr>
          <w:p>
            <w:r/>
            <w:r>
              <w:rPr>
                <w:rFonts w:ascii="Aptos" w:hAnsi="Aptos"/>
                <w:b w:val="0"/>
                <w:sz w:val="18"/>
              </w:rPr>
              <w:t>Routine correspondence, nonmaterial administrative records, event logistics, duplicate convenience copies</w:t>
            </w:r>
          </w:p>
        </w:tc>
      </w:tr>
      <w:tr>
        <w:trPr>
          <w:cantSplit/>
        </w:trPr>
        <w:tc>
          <w:tcPr>
            <w:tcW w:type="dxa" w:w="2376"/>
            <w:vAlign w:val="center"/>
          </w:tcPr>
          <w:p>
            <w:r/>
            <w:r>
              <w:rPr>
                <w:rFonts w:ascii="Aptos" w:hAnsi="Aptos"/>
                <w:b w:val="0"/>
                <w:sz w:val="18"/>
              </w:rPr>
              <w:t>Do not destroy under hold</w:t>
            </w:r>
          </w:p>
        </w:tc>
        <w:tc>
          <w:tcPr>
            <w:tcW w:type="dxa" w:w="7056"/>
            <w:vAlign w:val="center"/>
          </w:tcPr>
          <w:p>
            <w:r/>
            <w:r>
              <w:rPr>
                <w:rFonts w:ascii="Aptos" w:hAnsi="Aptos"/>
                <w:b w:val="0"/>
                <w:sz w:val="18"/>
              </w:rPr>
              <w:t>Any record relevant to pending/anticipated litigation, investigation, audit, tax examination, safeguarding matter, insurance claim, government inquiry, or internal dispute</w:t>
            </w:r>
          </w:p>
        </w:tc>
      </w:tr>
    </w:tbl>
    <w:p>
      <w:pPr>
        <w:pStyle w:val="Heading1"/>
      </w:pPr>
      <w:r>
        <w:t>Special Categories</w:t>
      </w:r>
    </w:p>
    <w:p>
      <w:pPr>
        <w:pStyle w:val="ListBullet"/>
      </w:pPr>
      <w:r>
        <w:t>Contribution records must support receipts and donor restrictions.</w:t>
      </w:r>
    </w:p>
    <w:p>
      <w:pPr>
        <w:pStyle w:val="ListBullet"/>
      </w:pPr>
      <w:r>
        <w:t>Financial records must permit reconciliation to tax returns and any Form 990-T or other required filing.</w:t>
      </w:r>
    </w:p>
    <w:p>
      <w:pPr>
        <w:pStyle w:val="ListBullet"/>
      </w:pPr>
      <w:r>
        <w:t>Safeguarding, personnel, and pastoral records require access controls and may be subject to legal privacy, reporting, privilege, or limitation-period considerations; obtain counsel before destruction of sensitive case records.</w:t>
      </w:r>
    </w:p>
    <w:p>
      <w:pPr>
        <w:pStyle w:val="ListBullet"/>
      </w:pPr>
      <w:r>
        <w:t>Electronic messages that constitute substantive approvals, contracts, restrictions, complaints, or governance decisions are records even if created in email, chat, or messaging systems.</w:t>
      </w:r>
    </w:p>
    <w:p>
      <w:pPr>
        <w:pStyle w:val="ListBullet"/>
      </w:pPr>
      <w:r>
        <w:t>Superseded governing and doctrinal instruments are archived rather than overwritten so institutional history remains reconstructable.</w:t>
      </w:r>
    </w:p>
    <w:p>
      <w:pPr>
        <w:pStyle w:val="Heading1"/>
      </w:pPr>
      <w:r>
        <w:t>Legal Hold Procedure</w:t>
      </w:r>
    </w:p>
    <w:p>
      <w:pPr>
        <w:pStyle w:val="ListNumber"/>
      </w:pPr>
      <w:r>
        <w:t>Anyone receiving notice of a claim, subpoena, investigation, audit, serious complaint, threatened litigation, or preservation request informs the designated records/legal authority promptly.</w:t>
      </w:r>
    </w:p>
    <w:p>
      <w:pPr>
        <w:pStyle w:val="ListNumber"/>
      </w:pPr>
      <w:r>
        <w:t>A written hold identifies categories, custodians, systems, and effective date.</w:t>
      </w:r>
    </w:p>
    <w:p>
      <w:pPr>
        <w:pStyle w:val="ListNumber"/>
      </w:pPr>
      <w:r>
        <w:t>Ordinary deletion/destruction for affected records stops.</w:t>
      </w:r>
    </w:p>
    <w:p>
      <w:pPr>
        <w:pStyle w:val="ListNumber"/>
      </w:pPr>
      <w:r>
        <w:t>Relevant persons acknowledge the hold and preserve local/cloud/device copies as directed.</w:t>
      </w:r>
    </w:p>
    <w:p>
      <w:pPr>
        <w:pStyle w:val="ListNumber"/>
      </w:pPr>
      <w:r>
        <w:t>The hold is released only by authorized written notice after the preservation duty ends.</w:t>
      </w:r>
    </w:p>
    <w:p>
      <w:pPr>
        <w:pStyle w:val="Heading1"/>
      </w:pPr>
      <w:r>
        <w:t>Destruction and Privacy</w:t>
      </w:r>
    </w:p>
    <w:p>
      <w:r>
        <w:t>When retention has expired and no hold applies, records should be destroyed securely and consistently. Destruction must never be used to conceal misconduct, alter institutional history, defeat donor restrictions, impair member rights, or frustrate lawful oversight.</w:t>
      </w:r>
    </w:p>
    <w:p>
      <w:pPr>
        <w:pStyle w:val="Heading1"/>
      </w:pPr>
      <w:r>
        <w:t>Current Legal and Administrative References</w:t>
      </w:r>
    </w:p>
    <w:p>
      <w:r>
        <w:rPr>
          <w:b/>
        </w:rPr>
        <w:t xml:space="preserve">IRS exempt-organization recordkeeping requirements: </w:t>
      </w:r>
      <w:r>
        <w:t>https://www.irs.gov/charities-non-profits/eo-operational-requirements-recordkeeping-requirements-for-exempt-organizations</w:t>
      </w:r>
    </w:p>
    <w:p>
      <w:r>
        <w:rPr>
          <w:b/>
        </w:rPr>
        <w:t xml:space="preserve">IRS Form 1023 Instructions: </w:t>
      </w:r>
      <w:r>
        <w:t>https://www.irs.gov/instructions/i1023</w:t>
      </w:r>
    </w:p>
    <w:p>
      <w:pPr>
        <w:pStyle w:val="Heading1"/>
      </w:pPr>
      <w:r>
        <w:t>Adoption and Certification</w:t>
      </w:r>
    </w:p>
    <w:p>
      <w:r>
        <w:t>This instrument becomes effective only upon valid adoption by the competent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9"/>
          </w:tcPr>
          <w:p>
            <w:r/>
            <w:r>
              <w:rPr>
                <w:rFonts w:ascii="Aptos" w:hAnsi="Aptos"/>
                <w:b/>
                <w:color w:val="FFFFFF"/>
                <w:sz w:val="18"/>
              </w:rPr>
              <w:t>Field</w:t>
            </w:r>
          </w:p>
        </w:tc>
        <w:tc>
          <w:tcPr>
            <w:tcW w:type="dxa" w:w="6480"/>
            <w:vAlign w:val="center"/>
            <w:shd w:fill="1F4E79"/>
          </w:tcPr>
          <w:p>
            <w:r/>
            <w:r>
              <w:rPr>
                <w:rFonts w:ascii="Aptos" w:hAnsi="Aptos"/>
                <w:b/>
                <w:color w:val="FFFFFF"/>
                <w:sz w:val="18"/>
              </w:rPr>
              <w:t>Entry</w:t>
            </w:r>
          </w:p>
        </w:tc>
      </w:tr>
      <w:tr>
        <w:trPr>
          <w:cantSplit/>
        </w:trPr>
        <w:tc>
          <w:tcPr>
            <w:tcW w:type="dxa" w:w="2880"/>
            <w:vAlign w:val="center"/>
          </w:tcPr>
          <w:p>
            <w:r/>
            <w:r>
              <w:rPr>
                <w:rFonts w:ascii="Aptos" w:hAnsi="Aptos"/>
                <w:b w:val="0"/>
                <w:sz w:val="18"/>
              </w:rPr>
              <w:t>Organization</w:t>
            </w:r>
          </w:p>
        </w:tc>
        <w:tc>
          <w:tcPr>
            <w:tcW w:type="dxa" w:w="6480"/>
            <w:vAlign w:val="center"/>
          </w:tcPr>
          <w:p>
            <w:r/>
            <w:r>
              <w:rPr>
                <w:rFonts w:ascii="Aptos" w:hAnsi="Aptos"/>
                <w:b w:val="0"/>
                <w:sz w:val="18"/>
              </w:rPr>
              <w:t>[[CORP_NAME]]</w:t>
            </w:r>
          </w:p>
        </w:tc>
      </w:tr>
      <w:tr>
        <w:trPr>
          <w:cantSplit/>
        </w:trPr>
        <w:tc>
          <w:tcPr>
            <w:tcW w:type="dxa" w:w="2880"/>
            <w:vAlign w:val="center"/>
          </w:tcPr>
          <w:p>
            <w:r/>
            <w:r>
              <w:rPr>
                <w:rFonts w:ascii="Aptos" w:hAnsi="Aptos"/>
                <w:b w:val="0"/>
                <w:sz w:val="18"/>
              </w:rPr>
              <w:t>Date of Adoption</w:t>
            </w:r>
          </w:p>
        </w:tc>
        <w:tc>
          <w:tcPr>
            <w:tcW w:type="dxa" w:w="6480"/>
            <w:vAlign w:val="center"/>
          </w:tcPr>
          <w:p>
            <w:r/>
            <w:r>
              <w:rPr>
                <w:rFonts w:ascii="Aptos" w:hAnsi="Aptos"/>
                <w:b w:val="0"/>
                <w:sz w:val="18"/>
              </w:rPr>
              <w:t>[[DATE]]</w:t>
            </w:r>
          </w:p>
        </w:tc>
      </w:tr>
      <w:tr>
        <w:trPr>
          <w:cantSplit/>
        </w:trPr>
        <w:tc>
          <w:tcPr>
            <w:tcW w:type="dxa" w:w="2880"/>
            <w:vAlign w:val="center"/>
          </w:tcPr>
          <w:p>
            <w:r/>
            <w:r>
              <w:rPr>
                <w:rFonts w:ascii="Aptos" w:hAnsi="Aptos"/>
                <w:b w:val="0"/>
                <w:sz w:val="18"/>
              </w:rPr>
              <w:t>Adopting Authority</w:t>
            </w:r>
          </w:p>
        </w:tc>
        <w:tc>
          <w:tcPr>
            <w:tcW w:type="dxa" w:w="6480"/>
            <w:vAlign w:val="center"/>
          </w:tcPr>
          <w:p>
            <w:r/>
            <w:r>
              <w:rPr>
                <w:rFonts w:ascii="Aptos" w:hAnsi="Aptos"/>
                <w:b w:val="0"/>
                <w:sz w:val="18"/>
              </w:rPr>
              <w:t>Civil Board of Directors</w:t>
            </w:r>
          </w:p>
        </w:tc>
      </w:tr>
      <w:tr>
        <w:trPr>
          <w:cantSplit/>
        </w:trPr>
        <w:tc>
          <w:tcPr>
            <w:tcW w:type="dxa" w:w="2880"/>
            <w:vAlign w:val="center"/>
          </w:tcPr>
          <w:p>
            <w:r/>
            <w:r>
              <w:rPr>
                <w:rFonts w:ascii="Aptos" w:hAnsi="Aptos"/>
                <w:b w:val="0"/>
                <w:sz w:val="18"/>
              </w:rPr>
              <w:t>Approval / Resolution</w:t>
            </w:r>
          </w:p>
        </w:tc>
        <w:tc>
          <w:tcPr>
            <w:tcW w:type="dxa" w:w="6480"/>
            <w:vAlign w:val="center"/>
          </w:tcPr>
          <w:p>
            <w:r/>
            <w:r>
              <w:rPr>
                <w:rFonts w:ascii="Aptos" w:hAnsi="Aptos"/>
                <w:b w:val="0"/>
                <w:sz w:val="18"/>
              </w:rPr>
              <w:t>[[APPROVAL_RECORD]]</w:t>
            </w:r>
          </w:p>
        </w:tc>
      </w:tr>
      <w:tr>
        <w:trPr>
          <w:cantSplit/>
        </w:trPr>
        <w:tc>
          <w:tcPr>
            <w:tcW w:type="dxa" w:w="2880"/>
            <w:vAlign w:val="center"/>
          </w:tcPr>
          <w:p>
            <w:r/>
            <w:r>
              <w:rPr>
                <w:rFonts w:ascii="Aptos" w:hAnsi="Aptos"/>
                <w:b w:val="0"/>
                <w:sz w:val="18"/>
              </w:rPr>
              <w:t>Version</w:t>
            </w:r>
          </w:p>
        </w:tc>
        <w:tc>
          <w:tcPr>
            <w:tcW w:type="dxa" w:w="6480"/>
            <w:vAlign w:val="center"/>
          </w:tcPr>
          <w:p>
            <w:r/>
            <w:r>
              <w:rPr>
                <w:rFonts w:ascii="Aptos" w:hAnsi="Aptos"/>
                <w:b w:val="0"/>
                <w:sz w:val="18"/>
              </w:rPr>
              <w:t>0.1.0</w:t>
            </w:r>
          </w:p>
        </w:tc>
      </w:tr>
    </w:tbl>
    <w:p>
      <w:r>
        <w:t>Certification</w:t>
      </w:r>
    </w:p>
    <w:p>
      <w:r>
        <w:t>I certify that the foregoing instrument was duly adopted or approved as stated above and remains in effect except as subsequently amended through valid process.</w:t>
      </w:r>
    </w:p>
    <w:p>
      <w:r>
        <w:t>Signature: ________________________________________   [[NAME / OFFICE]]   Date: [[DATE]]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Working Draft - Internal Governance / Legal &amp; Tax Review Recommended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CH-048  |  Records-Retention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