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Congregational Operations Layer Production Binder</w:t>
      </w:r>
    </w:p>
    <w:p>
      <w:pPr>
        <w:jc w:val="center"/>
      </w:pPr>
      <w:r>
        <w:rPr>
          <w:i/>
          <w:color w:val="5B6573"/>
          <w:sz w:val="23"/>
        </w:rPr>
        <w:t>CH-013 through CH-023 implementation and IRS evidence crosswalk</w:t>
      </w:r>
    </w:p>
    <w:tbl>
      <w:tblPr>
        <w:tblStyle w:val="TableGrid"/>
        <w:tblW w:type="auto" w:w="0"/>
        <w:jc w:val="center"/>
        <w:tblLook w:firstColumn="1" w:firstRow="1" w:lastColumn="0" w:lastRow="0" w:noHBand="0" w:noVBand="1" w:val="04A0"/>
      </w:tblPr>
      <w:tblGrid>
        <w:gridCol w:w="5083"/>
        <w:gridCol w:w="5083"/>
      </w:tblGrid>
      <w:tr>
        <w:trPr>
          <w:cantSplit w:val="true"/>
        </w:trPr>
        <w:tc>
          <w:tcPr>
            <w:tcW w:type="dxa" w:w="5083"/>
            <w:shd w:fill="D9EAF7"/>
          </w:tcPr>
          <w:p>
            <w:r>
              <w:rPr>
                <w:b/>
              </w:rPr>
              <w:t>Document ID</w:t>
            </w:r>
          </w:p>
        </w:tc>
        <w:tc>
          <w:tcPr>
            <w:tcW w:type="dxa" w:w="5083"/>
          </w:tcPr>
          <w:p>
            <w:r>
              <w:t>CONG-001</w:t>
            </w:r>
          </w:p>
        </w:tc>
      </w:tr>
      <w:tr>
        <w:trPr>
          <w:cantSplit w:val="true"/>
        </w:trPr>
        <w:tc>
          <w:tcPr>
            <w:tcW w:type="dxa" w:w="5083"/>
            <w:shd w:fill="D9EAF7"/>
          </w:tcPr>
          <w:p>
            <w:r>
              <w:rPr>
                <w:b/>
              </w:rPr>
              <w:t>Version</w:t>
            </w:r>
          </w:p>
        </w:tc>
        <w:tc>
          <w:tcPr>
            <w:tcW w:type="dxa" w:w="5083"/>
          </w:tcPr>
          <w:p>
            <w:r>
              <w:t>0.1.0</w:t>
            </w:r>
          </w:p>
        </w:tc>
      </w:tr>
      <w:tr>
        <w:trPr>
          <w:cantSplit w:val="true"/>
        </w:trPr>
        <w:tc>
          <w:tcPr>
            <w:tcW w:type="dxa" w:w="5083"/>
            <w:shd w:fill="D9EAF7"/>
          </w:tcPr>
          <w:p>
            <w:r>
              <w:rPr>
                <w:b/>
              </w:rPr>
              <w:t>Status</w:t>
            </w:r>
          </w:p>
        </w:tc>
        <w:tc>
          <w:tcPr>
            <w:tcW w:type="dxa" w:w="5083"/>
          </w:tcPr>
          <w:p>
            <w:r>
              <w:t>Provisional Operational Draft</w:t>
            </w:r>
          </w:p>
        </w:tc>
      </w:tr>
      <w:tr>
        <w:trPr>
          <w:cantSplit w:val="true"/>
        </w:trPr>
        <w:tc>
          <w:tcPr>
            <w:tcW w:type="dxa" w:w="5083"/>
            <w:shd w:fill="D9EAF7"/>
          </w:tcPr>
          <w:p>
            <w:r>
              <w:rPr>
                <w:b/>
              </w:rPr>
              <w:t>Classification</w:t>
            </w:r>
          </w:p>
        </w:tc>
        <w:tc>
          <w:tcPr>
            <w:tcW w:type="dxa" w:w="5083"/>
          </w:tcPr>
          <w:p>
            <w:r>
              <w:t>Production Control Binder</w:t>
            </w:r>
          </w:p>
        </w:tc>
      </w:tr>
      <w:tr>
        <w:trPr>
          <w:cantSplit w:val="true"/>
        </w:trPr>
        <w:tc>
          <w:tcPr>
            <w:tcW w:type="dxa" w:w="5083"/>
            <w:shd w:fill="D9EAF7"/>
          </w:tcPr>
          <w:p>
            <w:r>
              <w:rPr>
                <w:b/>
              </w:rPr>
              <w:t>Organization</w:t>
            </w:r>
          </w:p>
        </w:tc>
        <w:tc>
          <w:tcPr>
            <w:tcW w:type="dxa" w:w="5083"/>
          </w:tcPr>
          <w:p>
            <w:r>
              <w:t>[[CORP_NAME]]</w:t>
            </w:r>
          </w:p>
        </w:tc>
      </w:tr>
      <w:tr>
        <w:trPr>
          <w:cantSplit w:val="true"/>
        </w:trPr>
        <w:tc>
          <w:tcPr>
            <w:tcW w:type="dxa" w:w="5083"/>
            <w:shd w:fill="D9EAF7"/>
          </w:tcPr>
          <w:p>
            <w:r>
              <w:rPr>
                <w:b/>
              </w:rPr>
              <w:t>Adoption Date</w:t>
            </w:r>
          </w:p>
        </w:tc>
        <w:tc>
          <w:tcPr>
            <w:tcW w:type="dxa" w:w="5083"/>
          </w:tcPr>
          <w:p>
            <w:r>
              <w:t>[[DATE]]</w:t>
            </w:r>
          </w:p>
        </w:tc>
      </w:tr>
    </w:tbl>
    <w:p/>
    <w:p>
      <w:pPr>
        <w:pStyle w:val="SmallNote"/>
      </w:pPr>
      <w:r>
        <w:rPr>
          <w:b/>
        </w:rPr>
        <w:t xml:space="preserve">Control note: </w:t>
      </w:r>
      <w:r>
        <w:t>Bracketed fields require verification before adoption or use. This instrument implements, but does not amend, superior governing instruments.</w:t>
      </w:r>
    </w:p>
    <w:p>
      <w:r>
        <w:br w:type="page"/>
      </w:r>
    </w:p>
    <w:p>
      <w:pPr>
        <w:pStyle w:val="Heading1"/>
      </w:pPr>
      <w:r>
        <w:t>Batch Objective</w:t>
      </w:r>
    </w:p>
    <w:p>
      <w:r>
        <w:t>This batch converts the constitutional and religious-identity layers into repeatable congregational operations and contemporaneous evidence. It is deliberately designed so that later Form 1023 answers can be derived from records created during ordinary religious life rather than assembled retroactively.</w:t>
      </w:r>
    </w:p>
    <w:p>
      <w:pPr>
        <w:pStyle w:val="Heading1"/>
      </w:pPr>
      <w:r>
        <w:t>Deliverables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F4E79"/>
            <w:vAlign w:val="center"/>
          </w:tcPr>
          <w:p>
            <w:r>
              <w:rPr>
                <w:b/>
                <w:color w:val="FFFFFF"/>
              </w:rPr>
              <w:t>ID</w:t>
            </w:r>
          </w:p>
        </w:tc>
        <w:tc>
          <w:tcPr>
            <w:tcW w:type="dxa" w:w="3389"/>
            <w:shd w:fill="1F4E79"/>
            <w:vAlign w:val="center"/>
          </w:tcPr>
          <w:p>
            <w:r>
              <w:rPr>
                <w:b/>
                <w:color w:val="FFFFFF"/>
              </w:rPr>
              <w:t>Deliverable</w:t>
            </w:r>
          </w:p>
        </w:tc>
        <w:tc>
          <w:tcPr>
            <w:tcW w:type="dxa" w:w="3389"/>
            <w:shd w:fill="1F4E79"/>
            <w:vAlign w:val="center"/>
          </w:tcPr>
          <w:p>
            <w:r>
              <w:rPr>
                <w:b/>
                <w:color w:val="FFFFFF"/>
              </w:rPr>
              <w:t>Primary Function</w:t>
            </w:r>
          </w:p>
        </w:tc>
      </w:tr>
      <w:tr>
        <w:trPr>
          <w:cantSplit w:val="true"/>
        </w:trPr>
        <w:tc>
          <w:tcPr>
            <w:tcW w:type="dxa" w:w="3389"/>
          </w:tcPr>
          <w:p>
            <w:r>
              <w:t>CH-013</w:t>
            </w:r>
          </w:p>
        </w:tc>
        <w:tc>
          <w:tcPr>
            <w:tcW w:type="dxa" w:w="3389"/>
          </w:tcPr>
          <w:p>
            <w:r>
              <w:t>Membership Standard</w:t>
            </w:r>
          </w:p>
        </w:tc>
        <w:tc>
          <w:tcPr>
            <w:tcW w:type="dxa" w:w="3389"/>
          </w:tcPr>
          <w:p>
            <w:r>
              <w:t>Defines affiliation, eligibility, admission, rights, responsibilities, and status</w:t>
            </w:r>
          </w:p>
        </w:tc>
      </w:tr>
      <w:tr>
        <w:trPr>
          <w:cantSplit w:val="true"/>
        </w:trPr>
        <w:tc>
          <w:tcPr>
            <w:tcW w:type="dxa" w:w="3389"/>
          </w:tcPr>
          <w:p>
            <w:r>
              <w:t>CH-014</w:t>
            </w:r>
          </w:p>
        </w:tc>
        <w:tc>
          <w:tcPr>
            <w:tcW w:type="dxa" w:w="3389"/>
          </w:tcPr>
          <w:p>
            <w:r>
              <w:t>Covenant Membership Covenant</w:t>
            </w:r>
          </w:p>
        </w:tc>
        <w:tc>
          <w:tcPr>
            <w:tcW w:type="dxa" w:w="3389"/>
          </w:tcPr>
          <w:p>
            <w:r>
              <w:t>Voluntary member commitment and acknowledgment</w:t>
            </w:r>
          </w:p>
        </w:tc>
      </w:tr>
      <w:tr>
        <w:trPr>
          <w:cantSplit w:val="true"/>
        </w:trPr>
        <w:tc>
          <w:tcPr>
            <w:tcW w:type="dxa" w:w="3389"/>
          </w:tcPr>
          <w:p>
            <w:r>
              <w:t>CH-015</w:t>
            </w:r>
          </w:p>
        </w:tc>
        <w:tc>
          <w:tcPr>
            <w:tcW w:type="dxa" w:w="3389"/>
          </w:tcPr>
          <w:p>
            <w:r>
              <w:t>Membership Register Standard</w:t>
            </w:r>
          </w:p>
        </w:tc>
        <w:tc>
          <w:tcPr>
            <w:tcW w:type="dxa" w:w="3389"/>
          </w:tcPr>
          <w:p>
            <w:r>
              <w:t>Canonical membership registry and controls</w:t>
            </w:r>
          </w:p>
        </w:tc>
      </w:tr>
      <w:tr>
        <w:trPr>
          <w:cantSplit w:val="true"/>
        </w:trPr>
        <w:tc>
          <w:tcPr>
            <w:tcW w:type="dxa" w:w="3389"/>
          </w:tcPr>
          <w:p>
            <w:r>
              <w:t>CH-016</w:t>
            </w:r>
          </w:p>
        </w:tc>
        <w:tc>
          <w:tcPr>
            <w:tcW w:type="dxa" w:w="3389"/>
          </w:tcPr>
          <w:p>
            <w:r>
              <w:t>Attendance Register Standard</w:t>
            </w:r>
          </w:p>
        </w:tc>
        <w:tc>
          <w:tcPr>
            <w:tcW w:type="dxa" w:w="3389"/>
          </w:tcPr>
          <w:p>
            <w:r>
              <w:t>Reliable member/nonmember and physical/remote attendance evidence</w:t>
            </w:r>
          </w:p>
        </w:tc>
      </w:tr>
      <w:tr>
        <w:trPr>
          <w:cantSplit w:val="true"/>
        </w:trPr>
        <w:tc>
          <w:tcPr>
            <w:tcW w:type="dxa" w:w="3389"/>
          </w:tcPr>
          <w:p>
            <w:r>
              <w:t>CH-017</w:t>
            </w:r>
          </w:p>
        </w:tc>
        <w:tc>
          <w:tcPr>
            <w:tcW w:type="dxa" w:w="3389"/>
          </w:tcPr>
          <w:p>
            <w:r>
              <w:t>Congregational Meeting Records Standard</w:t>
            </w:r>
          </w:p>
        </w:tc>
        <w:tc>
          <w:tcPr>
            <w:tcW w:type="dxa" w:w="3389"/>
          </w:tcPr>
          <w:p>
            <w:r>
              <w:t>Minutes, votes, notices, and communal governance records</w:t>
            </w:r>
          </w:p>
        </w:tc>
      </w:tr>
      <w:tr>
        <w:trPr>
          <w:cantSplit w:val="true"/>
        </w:trPr>
        <w:tc>
          <w:tcPr>
            <w:tcW w:type="dxa" w:w="3389"/>
          </w:tcPr>
          <w:p>
            <w:r>
              <w:t>CH-018</w:t>
            </w:r>
          </w:p>
        </w:tc>
        <w:tc>
          <w:tcPr>
            <w:tcW w:type="dxa" w:w="3389"/>
          </w:tcPr>
          <w:p>
            <w:r>
              <w:t>Regular Worship Schedule</w:t>
            </w:r>
          </w:p>
        </w:tc>
        <w:tc>
          <w:tcPr>
            <w:tcW w:type="dxa" w:w="3389"/>
          </w:tcPr>
          <w:p>
            <w:r>
              <w:t>Recurring service schedule and continuity rules</w:t>
            </w:r>
          </w:p>
        </w:tc>
      </w:tr>
      <w:tr>
        <w:trPr>
          <w:cantSplit w:val="true"/>
        </w:trPr>
        <w:tc>
          <w:tcPr>
            <w:tcW w:type="dxa" w:w="3389"/>
          </w:tcPr>
          <w:p>
            <w:r>
              <w:t>CH-019</w:t>
            </w:r>
          </w:p>
        </w:tc>
        <w:tc>
          <w:tcPr>
            <w:tcW w:type="dxa" w:w="3389"/>
          </w:tcPr>
          <w:p>
            <w:r>
              <w:t>Worship Bulletin and Program Standard</w:t>
            </w:r>
          </w:p>
        </w:tc>
        <w:tc>
          <w:tcPr>
            <w:tcW w:type="dxa" w:w="3389"/>
          </w:tcPr>
          <w:p>
            <w:r>
              <w:t>Representative service literature and reusable bulletin</w:t>
            </w:r>
          </w:p>
        </w:tc>
      </w:tr>
      <w:tr>
        <w:trPr>
          <w:cantSplit w:val="true"/>
        </w:trPr>
        <w:tc>
          <w:tcPr>
            <w:tcW w:type="dxa" w:w="3389"/>
          </w:tcPr>
          <w:p>
            <w:r>
              <w:t>CH-020</w:t>
            </w:r>
          </w:p>
        </w:tc>
        <w:tc>
          <w:tcPr>
            <w:tcW w:type="dxa" w:w="3389"/>
          </w:tcPr>
          <w:p>
            <w:r>
              <w:t>Sermon and Teaching Archive Standard</w:t>
            </w:r>
          </w:p>
        </w:tc>
        <w:tc>
          <w:tcPr>
            <w:tcW w:type="dxa" w:w="3389"/>
          </w:tcPr>
          <w:p>
            <w:r>
              <w:t>Religious literature/teaching archive with authority labels</w:t>
            </w:r>
          </w:p>
        </w:tc>
      </w:tr>
      <w:tr>
        <w:trPr>
          <w:cantSplit w:val="true"/>
        </w:trPr>
        <w:tc>
          <w:tcPr>
            <w:tcW w:type="dxa" w:w="3389"/>
          </w:tcPr>
          <w:p>
            <w:r>
              <w:t>CH-021</w:t>
            </w:r>
          </w:p>
        </w:tc>
        <w:tc>
          <w:tcPr>
            <w:tcW w:type="dxa" w:w="3389"/>
          </w:tcPr>
          <w:p>
            <w:r>
              <w:t>Religious Calendar Framework</w:t>
            </w:r>
          </w:p>
        </w:tc>
        <w:tc>
          <w:tcPr>
            <w:tcW w:type="dxa" w:w="3389"/>
          </w:tcPr>
          <w:p>
            <w:r>
              <w:t>Recurring religious and institutional calendar</w:t>
            </w:r>
          </w:p>
        </w:tc>
      </w:tr>
      <w:tr>
        <w:trPr>
          <w:cantSplit w:val="true"/>
        </w:trPr>
        <w:tc>
          <w:tcPr>
            <w:tcW w:type="dxa" w:w="3389"/>
          </w:tcPr>
          <w:p>
            <w:r>
              <w:t>CH-022</w:t>
            </w:r>
          </w:p>
        </w:tc>
        <w:tc>
          <w:tcPr>
            <w:tcW w:type="dxa" w:w="3389"/>
          </w:tcPr>
          <w:p>
            <w:r>
              <w:t>Worship Location Use Agreement</w:t>
            </w:r>
          </w:p>
        </w:tc>
        <w:tc>
          <w:tcPr>
            <w:tcW w:type="dxa" w:w="3389"/>
          </w:tcPr>
          <w:p>
            <w:r>
              <w:t>Template supporting recurring rented/free worship space</w:t>
            </w:r>
          </w:p>
        </w:tc>
      </w:tr>
      <w:tr>
        <w:trPr>
          <w:cantSplit w:val="true"/>
        </w:trPr>
        <w:tc>
          <w:tcPr>
            <w:tcW w:type="dxa" w:w="3389"/>
          </w:tcPr>
          <w:p>
            <w:r>
              <w:t>CH-023</w:t>
            </w:r>
          </w:p>
        </w:tc>
        <w:tc>
          <w:tcPr>
            <w:tcW w:type="dxa" w:w="3389"/>
          </w:tcPr>
          <w:p>
            <w:r>
              <w:t>Worship Site Record</w:t>
            </w:r>
          </w:p>
        </w:tc>
        <w:tc>
          <w:tcPr>
            <w:tcW w:type="dxa" w:w="3389"/>
          </w:tcPr>
          <w:p>
            <w:r>
              <w:t>Evidence file for each established place of worship</w:t>
            </w:r>
          </w:p>
        </w:tc>
      </w:tr>
    </w:tbl>
    <w:p>
      <w:pPr>
        <w:pStyle w:val="Heading1"/>
      </w:pPr>
      <w:r>
        <w:t>IRS Evidence Crosswalk</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IRS inquiry / characteristic</w:t>
            </w:r>
          </w:p>
        </w:tc>
        <w:tc>
          <w:tcPr>
            <w:tcW w:type="dxa" w:w="5083"/>
            <w:shd w:fill="1F4E79"/>
            <w:vAlign w:val="center"/>
          </w:tcPr>
          <w:p>
            <w:r>
              <w:rPr>
                <w:b/>
                <w:color w:val="FFFFFF"/>
              </w:rPr>
              <w:t>Primary batch evidence</w:t>
            </w:r>
          </w:p>
        </w:tc>
      </w:tr>
      <w:tr>
        <w:trPr>
          <w:cantSplit w:val="true"/>
        </w:trPr>
        <w:tc>
          <w:tcPr>
            <w:tcW w:type="dxa" w:w="5083"/>
          </w:tcPr>
          <w:p>
            <w:r>
              <w:t>Established congregation / religious membership group</w:t>
            </w:r>
          </w:p>
        </w:tc>
        <w:tc>
          <w:tcPr>
            <w:tcW w:type="dxa" w:w="5083"/>
          </w:tcPr>
          <w:p>
            <w:r>
              <w:t>CH-013 through CH-016</w:t>
            </w:r>
          </w:p>
        </w:tc>
      </w:tr>
      <w:tr>
        <w:trPr>
          <w:cantSplit w:val="true"/>
        </w:trPr>
        <w:tc>
          <w:tcPr>
            <w:tcW w:type="dxa" w:w="5083"/>
          </w:tcPr>
          <w:p>
            <w:r>
              <w:t>Number of members and membership process</w:t>
            </w:r>
          </w:p>
        </w:tc>
        <w:tc>
          <w:tcPr>
            <w:tcW w:type="dxa" w:w="5083"/>
          </w:tcPr>
          <w:p>
            <w:r>
              <w:t>CH-013 through CH-015</w:t>
            </w:r>
          </w:p>
        </w:tc>
      </w:tr>
      <w:tr>
        <w:trPr>
          <w:cantSplit w:val="true"/>
        </w:trPr>
        <w:tc>
          <w:tcPr>
            <w:tcW w:type="dxa" w:w="5083"/>
          </w:tcPr>
          <w:p>
            <w:r>
              <w:t>Member rights and participation</w:t>
            </w:r>
          </w:p>
        </w:tc>
        <w:tc>
          <w:tcPr>
            <w:tcW w:type="dxa" w:w="5083"/>
          </w:tcPr>
          <w:p>
            <w:r>
              <w:t>CH-013, CH-014, CH-017</w:t>
            </w:r>
          </w:p>
        </w:tc>
      </w:tr>
      <w:tr>
        <w:trPr>
          <w:cantSplit w:val="true"/>
        </w:trPr>
        <w:tc>
          <w:tcPr>
            <w:tcW w:type="dxa" w:w="5083"/>
          </w:tcPr>
          <w:p>
            <w:r>
              <w:t>Regularly scheduled religious services</w:t>
            </w:r>
          </w:p>
        </w:tc>
        <w:tc>
          <w:tcPr>
            <w:tcW w:type="dxa" w:w="5083"/>
          </w:tcPr>
          <w:p>
            <w:r>
              <w:t>CH-018, CH-019</w:t>
            </w:r>
          </w:p>
        </w:tc>
      </w:tr>
      <w:tr>
        <w:trPr>
          <w:cantSplit w:val="true"/>
        </w:trPr>
        <w:tc>
          <w:tcPr>
            <w:tcW w:type="dxa" w:w="5083"/>
          </w:tcPr>
          <w:p>
            <w:r>
              <w:t>Average member/nonmember attendance</w:t>
            </w:r>
          </w:p>
        </w:tc>
        <w:tc>
          <w:tcPr>
            <w:tcW w:type="dxa" w:w="5083"/>
          </w:tcPr>
          <w:p>
            <w:r>
              <w:t>CH-016 + workbook Service Summary</w:t>
            </w:r>
          </w:p>
        </w:tc>
      </w:tr>
      <w:tr>
        <w:trPr>
          <w:cantSplit w:val="true"/>
        </w:trPr>
        <w:tc>
          <w:tcPr>
            <w:tcW w:type="dxa" w:w="5083"/>
          </w:tcPr>
          <w:p>
            <w:r>
              <w:t>Established place of worship</w:t>
            </w:r>
          </w:p>
        </w:tc>
        <w:tc>
          <w:tcPr>
            <w:tcW w:type="dxa" w:w="5083"/>
          </w:tcPr>
          <w:p>
            <w:r>
              <w:t>CH-022, CH-023</w:t>
            </w:r>
          </w:p>
        </w:tc>
      </w:tr>
      <w:tr>
        <w:trPr>
          <w:cantSplit w:val="true"/>
        </w:trPr>
        <w:tc>
          <w:tcPr>
            <w:tcW w:type="dxa" w:w="5083"/>
          </w:tcPr>
          <w:p>
            <w:r>
              <w:t>Representative church bulletins / service literature</w:t>
            </w:r>
          </w:p>
        </w:tc>
        <w:tc>
          <w:tcPr>
            <w:tcW w:type="dxa" w:w="5083"/>
          </w:tcPr>
          <w:p>
            <w:r>
              <w:t>CH-019</w:t>
            </w:r>
          </w:p>
        </w:tc>
      </w:tr>
      <w:tr>
        <w:trPr>
          <w:cantSplit w:val="true"/>
        </w:trPr>
        <w:tc>
          <w:tcPr>
            <w:tcW w:type="dxa" w:w="5083"/>
          </w:tcPr>
          <w:p>
            <w:r>
              <w:t>Literature of its own</w:t>
            </w:r>
          </w:p>
        </w:tc>
        <w:tc>
          <w:tcPr>
            <w:tcW w:type="dxa" w:w="5083"/>
          </w:tcPr>
          <w:p>
            <w:r>
              <w:t>CH-020 plus CH-007 through CH-012</w:t>
            </w:r>
          </w:p>
        </w:tc>
      </w:tr>
      <w:tr>
        <w:trPr>
          <w:cantSplit w:val="true"/>
        </w:trPr>
        <w:tc>
          <w:tcPr>
            <w:tcW w:type="dxa" w:w="5083"/>
          </w:tcPr>
          <w:p>
            <w:r>
              <w:t>Regular community life and continuity</w:t>
            </w:r>
          </w:p>
        </w:tc>
        <w:tc>
          <w:tcPr>
            <w:tcW w:type="dxa" w:w="5083"/>
          </w:tcPr>
          <w:p>
            <w:r>
              <w:t>CH-017 through CH-021</w:t>
            </w:r>
          </w:p>
        </w:tc>
      </w:tr>
    </w:tbl>
    <w:p>
      <w:pPr>
        <w:pStyle w:val="Heading1"/>
      </w:pPr>
      <w:r>
        <w:t>Operational Gate Before First Regular Service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Requirement</w:t>
            </w:r>
          </w:p>
        </w:tc>
        <w:tc>
          <w:tcPr>
            <w:tcW w:type="dxa" w:w="5083"/>
            <w:shd w:fill="1F4E79"/>
            <w:vAlign w:val="center"/>
          </w:tcPr>
          <w:p>
            <w:r>
              <w:rPr>
                <w:b/>
                <w:color w:val="FFFFFF"/>
              </w:rPr>
              <w:t>Ready when...</w:t>
            </w:r>
          </w:p>
        </w:tc>
      </w:tr>
      <w:tr>
        <w:trPr>
          <w:cantSplit w:val="true"/>
        </w:trPr>
        <w:tc>
          <w:tcPr>
            <w:tcW w:type="dxa" w:w="5083"/>
          </w:tcPr>
          <w:p>
            <w:r>
              <w:t>Membership system</w:t>
            </w:r>
          </w:p>
        </w:tc>
        <w:tc>
          <w:tcPr>
            <w:tcW w:type="dxa" w:w="5083"/>
          </w:tcPr>
          <w:p>
            <w:r>
              <w:t>CH-013/014 adopted or transitional process validly approved</w:t>
            </w:r>
          </w:p>
        </w:tc>
      </w:tr>
      <w:tr>
        <w:trPr>
          <w:cantSplit w:val="true"/>
        </w:trPr>
        <w:tc>
          <w:tcPr>
            <w:tcW w:type="dxa" w:w="5083"/>
          </w:tcPr>
          <w:p>
            <w:r>
              <w:t>Membership registry</w:t>
            </w:r>
          </w:p>
        </w:tc>
        <w:tc>
          <w:tcPr>
            <w:tcW w:type="dxa" w:w="5083"/>
          </w:tcPr>
          <w:p>
            <w:r>
              <w:t>CH-015 workbook/register operational</w:t>
            </w:r>
          </w:p>
        </w:tc>
      </w:tr>
      <w:tr>
        <w:trPr>
          <w:cantSplit w:val="true"/>
        </w:trPr>
        <w:tc>
          <w:tcPr>
            <w:tcW w:type="dxa" w:w="5083"/>
          </w:tcPr>
          <w:p>
            <w:r>
              <w:t>Attendance method</w:t>
            </w:r>
          </w:p>
        </w:tc>
        <w:tc>
          <w:tcPr>
            <w:tcW w:type="dxa" w:w="5083"/>
          </w:tcPr>
          <w:p>
            <w:r>
              <w:t>CH-016 register ready</w:t>
            </w:r>
          </w:p>
        </w:tc>
      </w:tr>
      <w:tr>
        <w:trPr>
          <w:cantSplit w:val="true"/>
        </w:trPr>
        <w:tc>
          <w:tcPr>
            <w:tcW w:type="dxa" w:w="5083"/>
          </w:tcPr>
          <w:p>
            <w:r>
              <w:t>Service schedule</w:t>
            </w:r>
          </w:p>
        </w:tc>
        <w:tc>
          <w:tcPr>
            <w:tcW w:type="dxa" w:w="5083"/>
          </w:tcPr>
          <w:p>
            <w:r>
              <w:t>CH-018 populated with actual day/time/location</w:t>
            </w:r>
          </w:p>
        </w:tc>
      </w:tr>
      <w:tr>
        <w:trPr>
          <w:cantSplit w:val="true"/>
        </w:trPr>
        <w:tc>
          <w:tcPr>
            <w:tcW w:type="dxa" w:w="5083"/>
          </w:tcPr>
          <w:p>
            <w:r>
              <w:t>Bulletin</w:t>
            </w:r>
          </w:p>
        </w:tc>
        <w:tc>
          <w:tcPr>
            <w:tcW w:type="dxa" w:w="5083"/>
          </w:tcPr>
          <w:p>
            <w:r>
              <w:t>CH-019 template populated for first service</w:t>
            </w:r>
          </w:p>
        </w:tc>
      </w:tr>
      <w:tr>
        <w:trPr>
          <w:cantSplit w:val="true"/>
        </w:trPr>
        <w:tc>
          <w:tcPr>
            <w:tcW w:type="dxa" w:w="5083"/>
          </w:tcPr>
          <w:p>
            <w:r>
              <w:t>Teaching archive</w:t>
            </w:r>
          </w:p>
        </w:tc>
        <w:tc>
          <w:tcPr>
            <w:tcW w:type="dxa" w:w="5083"/>
          </w:tcPr>
          <w:p>
            <w:r>
              <w:t>CH-020 ID and storage convention established</w:t>
            </w:r>
          </w:p>
        </w:tc>
      </w:tr>
      <w:tr>
        <w:trPr>
          <w:cantSplit w:val="true"/>
        </w:trPr>
        <w:tc>
          <w:tcPr>
            <w:tcW w:type="dxa" w:w="5083"/>
          </w:tcPr>
          <w:p>
            <w:r>
              <w:t>Calendar</w:t>
            </w:r>
          </w:p>
        </w:tc>
        <w:tc>
          <w:tcPr>
            <w:tcW w:type="dxa" w:w="5083"/>
          </w:tcPr>
          <w:p>
            <w:r>
              <w:t>CH-021 current quarter published internally</w:t>
            </w:r>
          </w:p>
        </w:tc>
      </w:tr>
      <w:tr>
        <w:trPr>
          <w:cantSplit w:val="true"/>
        </w:trPr>
        <w:tc>
          <w:tcPr>
            <w:tcW w:type="dxa" w:w="5083"/>
          </w:tcPr>
          <w:p>
            <w:r>
              <w:t>Location</w:t>
            </w:r>
          </w:p>
        </w:tc>
        <w:tc>
          <w:tcPr>
            <w:tcW w:type="dxa" w:w="5083"/>
          </w:tcPr>
          <w:p>
            <w:r>
              <w:t>CH-022 signed or other right-to-use evidence obtained; CH-023 opened</w:t>
            </w:r>
          </w:p>
        </w:tc>
      </w:tr>
    </w:tbl>
    <w:p>
      <w:pPr>
        <w:pStyle w:val="Heading1"/>
      </w:pPr>
      <w:r>
        <w:t>Do Not Manufacture Maturity</w:t>
      </w:r>
    </w:p>
    <w:p>
      <w:pPr>
        <w:pStyle w:val="Principle"/>
      </w:pPr>
      <w:r>
        <w:t>A complete binder does not itself create a church. The organization should mark planned items as planned until people actually gather, services actually occur, members actually join, and an actual location is regularly used.</w:t>
      </w:r>
    </w:p>
    <w:p>
      <w:pPr>
        <w:pStyle w:val="Heading2"/>
      </w:pPr>
      <w:r>
        <w:t>Current IRS Reference</w:t>
      </w:r>
    </w:p>
    <w:p>
      <w:r>
        <w:t>Current Form 1023 instructions describe church classification as a facts-and-circumstances inquiry and ask specifically about regularly scheduled services, average attendance, established worship locations, established congregations, member counts, membership processes, member rights, and related practices. The organization should answer any future IRS application from contemporaneous records rather than reconstructing facts after the event.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Source</w:t>
            </w:r>
          </w:p>
        </w:tc>
        <w:tc>
          <w:tcPr>
            <w:tcW w:type="dxa" w:w="5083"/>
            <w:shd w:fill="1F4E79"/>
            <w:vAlign w:val="center"/>
          </w:tcPr>
          <w:p>
            <w:r>
              <w:rPr>
                <w:b/>
                <w:color w:val="FFFFFF"/>
              </w:rPr>
              <w:t>URL</w:t>
            </w:r>
          </w:p>
        </w:tc>
      </w:tr>
      <w:tr>
        <w:trPr>
          <w:cantSplit w:val="true"/>
        </w:trPr>
        <w:tc>
          <w:tcPr>
            <w:tcW w:type="dxa" w:w="5083"/>
          </w:tcPr>
          <w:p>
            <w:r>
              <w:t>IRS - Instructions for Form 1023</w:t>
            </w:r>
          </w:p>
        </w:tc>
        <w:tc>
          <w:tcPr>
            <w:tcW w:type="dxa" w:w="5083"/>
          </w:tcPr>
          <w:p>
            <w:r>
              <w:t>https://www.irs.gov/instructions/i1023</w:t>
            </w:r>
          </w:p>
        </w:tc>
      </w:tr>
      <w:tr>
        <w:trPr>
          <w:cantSplit w:val="true"/>
        </w:trPr>
        <w:tc>
          <w:tcPr>
            <w:tcW w:type="dxa" w:w="5083"/>
          </w:tcPr>
          <w:p>
            <w:r>
              <w:t>IRS - Form 1023</w:t>
            </w:r>
          </w:p>
        </w:tc>
        <w:tc>
          <w:tcPr>
            <w:tcW w:type="dxa" w:w="5083"/>
          </w:tcPr>
          <w:p>
            <w:r>
              <w:t>https://www.irs.gov/pub/irs-pdf/f1023.pdf</w:t>
            </w:r>
          </w:p>
        </w:tc>
      </w:tr>
    </w:tbl>
    <w:p>
      <w:r>
        <w:br w:type="page"/>
      </w:r>
    </w:p>
    <w:p>
      <w:pPr>
        <w:pStyle w:val="Heading1"/>
      </w:pPr>
      <w:r>
        <w:t>Adoption and Certification</w:t>
      </w:r>
    </w:p>
    <w:p>
      <w:r>
        <w:t>This instrument becomes effective only upon valid adoption by the competent authority. Operational records created under it must reflect actual events and may not be backdated or fabricated to create an appearance of maturity.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Organization</w:t>
            </w:r>
          </w:p>
        </w:tc>
        <w:tc>
          <w:tcPr>
            <w:tcW w:type="dxa" w:w="5083"/>
          </w:tcPr>
          <w:p>
            <w:r>
              <w:t>[[CORP_NAME]]</w:t>
            </w:r>
          </w:p>
        </w:tc>
      </w:tr>
      <w:tr>
        <w:trPr>
          <w:cantSplit w:val="true"/>
        </w:trPr>
        <w:tc>
          <w:tcPr>
            <w:tcW w:type="dxa" w:w="5083"/>
          </w:tcPr>
          <w:p>
            <w:r>
              <w:t>Date</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[[APPROVAL_RECORD]]</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and remains in effect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35" w:left="1037" w:header="403"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CONG-001 | Congregational Operations Layer Production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6"/>
    </w:rPr>
  </w:style>
  <w:style w:type="paragraph" w:customStyle="1" w:styleId="Principle">
    <w:name w:val="Principle"/>
    <w:pPr>
      <w:spacing w:before="100" w:after="100"/>
      <w:ind w:left="331" w:right="331"/>
    </w:pPr>
    <w:rPr>
      <w:rFonts w:ascii="Aptos" w:hAnsi="Aptos"/>
      <w:b/>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