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Ministry and Religious Education Layer Production Binder</w:t>
      </w:r>
    </w:p>
    <w:p>
      <w:pPr>
        <w:jc w:val="center"/>
      </w:pPr>
      <w:r>
        <w:rPr>
          <w:i/>
          <w:color w:val="475569"/>
          <w:sz w:val="24"/>
        </w:rPr>
        <w:t>Control binder for CH-024 through CH-033</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MINED-001</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Batch Scope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F2937"/>
            <w:vAlign w:val="center"/>
          </w:tcPr>
          <w:p>
            <w:r/>
            <w:r>
              <w:rPr>
                <w:b/>
                <w:color w:val="FFFFFF"/>
                <w:sz w:val="18"/>
              </w:rPr>
              <w:t>ID</w:t>
            </w:r>
          </w:p>
        </w:tc>
        <w:tc>
          <w:tcPr>
            <w:tcW w:type="dxa" w:w="4032"/>
            <w:shd w:fill="1F2937"/>
            <w:vAlign w:val="center"/>
          </w:tcPr>
          <w:p>
            <w:r/>
            <w:r>
              <w:rPr>
                <w:b/>
                <w:color w:val="FFFFFF"/>
                <w:sz w:val="18"/>
              </w:rPr>
              <w:t>Deliverable</w:t>
            </w:r>
          </w:p>
        </w:tc>
        <w:tc>
          <w:tcPr>
            <w:tcW w:type="dxa" w:w="4464"/>
            <w:shd w:fill="1F2937"/>
            <w:vAlign w:val="center"/>
          </w:tcPr>
          <w:p>
            <w:r/>
            <w:r>
              <w:rPr>
                <w:b/>
                <w:color w:val="FFFFFF"/>
                <w:sz w:val="18"/>
              </w:rPr>
              <w:t>Primary Function</w:t>
            </w:r>
          </w:p>
        </w:tc>
      </w:tr>
      <w:tr>
        <w:trPr>
          <w:cantSplit/>
        </w:trPr>
        <w:tc>
          <w:tcPr>
            <w:tcW w:type="dxa" w:w="1584"/>
            <w:vAlign w:val="center"/>
          </w:tcPr>
          <w:p>
            <w:r/>
            <w:r>
              <w:rPr>
                <w:b w:val="0"/>
                <w:color w:val="111827"/>
                <w:sz w:val="17"/>
              </w:rPr>
              <w:t>CH-024</w:t>
            </w:r>
          </w:p>
        </w:tc>
        <w:tc>
          <w:tcPr>
            <w:tcW w:type="dxa" w:w="4032"/>
            <w:vAlign w:val="center"/>
          </w:tcPr>
          <w:p>
            <w:r/>
            <w:r>
              <w:rPr>
                <w:b w:val="0"/>
                <w:color w:val="111827"/>
                <w:sz w:val="17"/>
              </w:rPr>
              <w:t>Ministerial Offices Standard</w:t>
            </w:r>
          </w:p>
        </w:tc>
        <w:tc>
          <w:tcPr>
            <w:tcW w:type="dxa" w:w="4464"/>
            <w:vAlign w:val="center"/>
          </w:tcPr>
          <w:p>
            <w:r/>
            <w:r>
              <w:rPr>
                <w:b w:val="0"/>
                <w:color w:val="111827"/>
                <w:sz w:val="17"/>
              </w:rPr>
              <w:t>Defines offices, functions, qualifications, and authority limits</w:t>
            </w:r>
          </w:p>
        </w:tc>
      </w:tr>
      <w:tr>
        <w:trPr>
          <w:cantSplit/>
        </w:trPr>
        <w:tc>
          <w:tcPr>
            <w:tcW w:type="dxa" w:w="1584"/>
            <w:vAlign w:val="center"/>
          </w:tcPr>
          <w:p>
            <w:r/>
            <w:r>
              <w:rPr>
                <w:b w:val="0"/>
                <w:color w:val="111827"/>
                <w:sz w:val="17"/>
              </w:rPr>
              <w:t>CH-025</w:t>
            </w:r>
          </w:p>
        </w:tc>
        <w:tc>
          <w:tcPr>
            <w:tcW w:type="dxa" w:w="4032"/>
            <w:vAlign w:val="center"/>
          </w:tcPr>
          <w:p>
            <w:r/>
            <w:r>
              <w:rPr>
                <w:b w:val="0"/>
                <w:color w:val="111827"/>
                <w:sz w:val="17"/>
              </w:rPr>
              <w:t>Ordination and Credentialing Standard</w:t>
            </w:r>
          </w:p>
        </w:tc>
        <w:tc>
          <w:tcPr>
            <w:tcW w:type="dxa" w:w="4464"/>
            <w:vAlign w:val="center"/>
          </w:tcPr>
          <w:p>
            <w:r/>
            <w:r>
              <w:rPr>
                <w:b w:val="0"/>
                <w:color w:val="111827"/>
                <w:sz w:val="17"/>
              </w:rPr>
              <w:t>Defines credential classes, ordination eligibility, standing, and decision integrity</w:t>
            </w:r>
          </w:p>
        </w:tc>
      </w:tr>
      <w:tr>
        <w:trPr>
          <w:cantSplit/>
        </w:trPr>
        <w:tc>
          <w:tcPr>
            <w:tcW w:type="dxa" w:w="1584"/>
            <w:vAlign w:val="center"/>
          </w:tcPr>
          <w:p>
            <w:r/>
            <w:r>
              <w:rPr>
                <w:b w:val="0"/>
                <w:color w:val="111827"/>
                <w:sz w:val="17"/>
              </w:rPr>
              <w:t>CH-026</w:t>
            </w:r>
          </w:p>
        </w:tc>
        <w:tc>
          <w:tcPr>
            <w:tcW w:type="dxa" w:w="4032"/>
            <w:vAlign w:val="center"/>
          </w:tcPr>
          <w:p>
            <w:r/>
            <w:r>
              <w:rPr>
                <w:b w:val="0"/>
                <w:color w:val="111827"/>
                <w:sz w:val="17"/>
              </w:rPr>
              <w:t>Ministerial Course of Study</w:t>
            </w:r>
          </w:p>
        </w:tc>
        <w:tc>
          <w:tcPr>
            <w:tcW w:type="dxa" w:w="4464"/>
            <w:vAlign w:val="center"/>
          </w:tcPr>
          <w:p>
            <w:r/>
            <w:r>
              <w:rPr>
                <w:b w:val="0"/>
                <w:color w:val="111827"/>
                <w:sz w:val="17"/>
              </w:rPr>
              <w:t>Creates the prescribed substantive curriculum</w:t>
            </w:r>
          </w:p>
        </w:tc>
      </w:tr>
      <w:tr>
        <w:trPr>
          <w:cantSplit/>
        </w:trPr>
        <w:tc>
          <w:tcPr>
            <w:tcW w:type="dxa" w:w="1584"/>
            <w:vAlign w:val="center"/>
          </w:tcPr>
          <w:p>
            <w:r/>
            <w:r>
              <w:rPr>
                <w:b w:val="0"/>
                <w:color w:val="111827"/>
                <w:sz w:val="17"/>
              </w:rPr>
              <w:t>CH-027</w:t>
            </w:r>
          </w:p>
        </w:tc>
        <w:tc>
          <w:tcPr>
            <w:tcW w:type="dxa" w:w="4032"/>
            <w:vAlign w:val="center"/>
          </w:tcPr>
          <w:p>
            <w:r/>
            <w:r>
              <w:rPr>
                <w:b w:val="0"/>
                <w:color w:val="111827"/>
                <w:sz w:val="17"/>
              </w:rPr>
              <w:t>Ordination Procedure</w:t>
            </w:r>
          </w:p>
        </w:tc>
        <w:tc>
          <w:tcPr>
            <w:tcW w:type="dxa" w:w="4464"/>
            <w:vAlign w:val="center"/>
          </w:tcPr>
          <w:p>
            <w:r/>
            <w:r>
              <w:rPr>
                <w:b w:val="0"/>
                <w:color w:val="111827"/>
                <w:sz w:val="17"/>
              </w:rPr>
              <w:t>Creates the auditable end-to-end decision and rite process</w:t>
            </w:r>
          </w:p>
        </w:tc>
      </w:tr>
      <w:tr>
        <w:trPr>
          <w:cantSplit/>
        </w:trPr>
        <w:tc>
          <w:tcPr>
            <w:tcW w:type="dxa" w:w="1584"/>
            <w:vAlign w:val="center"/>
          </w:tcPr>
          <w:p>
            <w:r/>
            <w:r>
              <w:rPr>
                <w:b w:val="0"/>
                <w:color w:val="111827"/>
                <w:sz w:val="17"/>
              </w:rPr>
              <w:t>CH-028</w:t>
            </w:r>
          </w:p>
        </w:tc>
        <w:tc>
          <w:tcPr>
            <w:tcW w:type="dxa" w:w="4032"/>
            <w:vAlign w:val="center"/>
          </w:tcPr>
          <w:p>
            <w:r/>
            <w:r>
              <w:rPr>
                <w:b w:val="0"/>
                <w:color w:val="111827"/>
                <w:sz w:val="17"/>
              </w:rPr>
              <w:t>Ministerial Credentials</w:t>
            </w:r>
          </w:p>
        </w:tc>
        <w:tc>
          <w:tcPr>
            <w:tcW w:type="dxa" w:w="4464"/>
            <w:vAlign w:val="center"/>
          </w:tcPr>
          <w:p>
            <w:r/>
            <w:r>
              <w:rPr>
                <w:b w:val="0"/>
                <w:color w:val="111827"/>
                <w:sz w:val="17"/>
              </w:rPr>
              <w:t>Creates registry fields and credential/verification templates</w:t>
            </w:r>
          </w:p>
        </w:tc>
      </w:tr>
      <w:tr>
        <w:trPr>
          <w:cantSplit/>
        </w:trPr>
        <w:tc>
          <w:tcPr>
            <w:tcW w:type="dxa" w:w="1584"/>
            <w:vAlign w:val="center"/>
          </w:tcPr>
          <w:p>
            <w:r/>
            <w:r>
              <w:rPr>
                <w:b w:val="0"/>
                <w:color w:val="111827"/>
                <w:sz w:val="17"/>
              </w:rPr>
              <w:t>CH-029</w:t>
            </w:r>
          </w:p>
        </w:tc>
        <w:tc>
          <w:tcPr>
            <w:tcW w:type="dxa" w:w="4032"/>
            <w:vAlign w:val="center"/>
          </w:tcPr>
          <w:p>
            <w:r/>
            <w:r>
              <w:rPr>
                <w:b w:val="0"/>
                <w:color w:val="111827"/>
                <w:sz w:val="17"/>
              </w:rPr>
              <w:t>Ministerial Personnel Records</w:t>
            </w:r>
          </w:p>
        </w:tc>
        <w:tc>
          <w:tcPr>
            <w:tcW w:type="dxa" w:w="4464"/>
            <w:vAlign w:val="center"/>
          </w:tcPr>
          <w:p>
            <w:r/>
            <w:r>
              <w:rPr>
                <w:b w:val="0"/>
                <w:color w:val="111827"/>
                <w:sz w:val="17"/>
              </w:rPr>
              <w:t>Creates ministerial recordkeeping and access standards</w:t>
            </w:r>
          </w:p>
        </w:tc>
      </w:tr>
      <w:tr>
        <w:trPr>
          <w:cantSplit/>
        </w:trPr>
        <w:tc>
          <w:tcPr>
            <w:tcW w:type="dxa" w:w="1584"/>
            <w:vAlign w:val="center"/>
          </w:tcPr>
          <w:p>
            <w:r/>
            <w:r>
              <w:rPr>
                <w:b w:val="0"/>
                <w:color w:val="111827"/>
                <w:sz w:val="17"/>
              </w:rPr>
              <w:t>CH-030</w:t>
            </w:r>
          </w:p>
        </w:tc>
        <w:tc>
          <w:tcPr>
            <w:tcW w:type="dxa" w:w="4032"/>
            <w:vAlign w:val="center"/>
          </w:tcPr>
          <w:p>
            <w:r/>
            <w:r>
              <w:rPr>
                <w:b w:val="0"/>
                <w:color w:val="111827"/>
                <w:sz w:val="17"/>
              </w:rPr>
              <w:t>Religious Literature Corpus</w:t>
            </w:r>
          </w:p>
        </w:tc>
        <w:tc>
          <w:tcPr>
            <w:tcW w:type="dxa" w:w="4464"/>
            <w:vAlign w:val="center"/>
          </w:tcPr>
          <w:p>
            <w:r/>
            <w:r>
              <w:rPr>
                <w:b w:val="0"/>
                <w:color w:val="111827"/>
                <w:sz w:val="17"/>
              </w:rPr>
              <w:t>Defines the Religious Body's own literature and publication authority classes</w:t>
            </w:r>
          </w:p>
        </w:tc>
      </w:tr>
      <w:tr>
        <w:trPr>
          <w:cantSplit/>
        </w:trPr>
        <w:tc>
          <w:tcPr>
            <w:tcW w:type="dxa" w:w="1584"/>
            <w:vAlign w:val="center"/>
          </w:tcPr>
          <w:p>
            <w:r/>
            <w:r>
              <w:rPr>
                <w:b w:val="0"/>
                <w:color w:val="111827"/>
                <w:sz w:val="17"/>
              </w:rPr>
              <w:t>CH-031</w:t>
            </w:r>
          </w:p>
        </w:tc>
        <w:tc>
          <w:tcPr>
            <w:tcW w:type="dxa" w:w="4032"/>
            <w:vAlign w:val="center"/>
          </w:tcPr>
          <w:p>
            <w:r/>
            <w:r>
              <w:rPr>
                <w:b w:val="0"/>
                <w:color w:val="111827"/>
                <w:sz w:val="17"/>
              </w:rPr>
              <w:t>Adult Religious Education Program</w:t>
            </w:r>
          </w:p>
        </w:tc>
        <w:tc>
          <w:tcPr>
            <w:tcW w:type="dxa" w:w="4464"/>
            <w:vAlign w:val="center"/>
          </w:tcPr>
          <w:p>
            <w:r/>
            <w:r>
              <w:rPr>
                <w:b w:val="0"/>
                <w:color w:val="111827"/>
                <w:sz w:val="17"/>
              </w:rPr>
              <w:t>Creates recurring adult instruction and membership formation tracks</w:t>
            </w:r>
          </w:p>
        </w:tc>
      </w:tr>
      <w:tr>
        <w:trPr>
          <w:cantSplit/>
        </w:trPr>
        <w:tc>
          <w:tcPr>
            <w:tcW w:type="dxa" w:w="1584"/>
            <w:vAlign w:val="center"/>
          </w:tcPr>
          <w:p>
            <w:r/>
            <w:r>
              <w:rPr>
                <w:b w:val="0"/>
                <w:color w:val="111827"/>
                <w:sz w:val="17"/>
              </w:rPr>
              <w:t>CH-032</w:t>
            </w:r>
          </w:p>
        </w:tc>
        <w:tc>
          <w:tcPr>
            <w:tcW w:type="dxa" w:w="4032"/>
            <w:vAlign w:val="center"/>
          </w:tcPr>
          <w:p>
            <w:r/>
            <w:r>
              <w:rPr>
                <w:b w:val="0"/>
                <w:color w:val="111827"/>
                <w:sz w:val="17"/>
              </w:rPr>
              <w:t>Youth Religious Education Program</w:t>
            </w:r>
          </w:p>
        </w:tc>
        <w:tc>
          <w:tcPr>
            <w:tcW w:type="dxa" w:w="4464"/>
            <w:vAlign w:val="center"/>
          </w:tcPr>
          <w:p>
            <w:r/>
            <w:r>
              <w:rPr>
                <w:b w:val="0"/>
                <w:color w:val="111827"/>
                <w:sz w:val="17"/>
              </w:rPr>
              <w:t>Creates a safeguarding-first youth education framework</w:t>
            </w:r>
          </w:p>
        </w:tc>
      </w:tr>
      <w:tr>
        <w:trPr>
          <w:cantSplit/>
        </w:trPr>
        <w:tc>
          <w:tcPr>
            <w:tcW w:type="dxa" w:w="1584"/>
            <w:vAlign w:val="center"/>
          </w:tcPr>
          <w:p>
            <w:r/>
            <w:r>
              <w:rPr>
                <w:b w:val="0"/>
                <w:color w:val="111827"/>
                <w:sz w:val="17"/>
              </w:rPr>
              <w:t>CH-033</w:t>
            </w:r>
          </w:p>
        </w:tc>
        <w:tc>
          <w:tcPr>
            <w:tcW w:type="dxa" w:w="4032"/>
            <w:vAlign w:val="center"/>
          </w:tcPr>
          <w:p>
            <w:r/>
            <w:r>
              <w:rPr>
                <w:b w:val="0"/>
                <w:color w:val="111827"/>
                <w:sz w:val="17"/>
              </w:rPr>
              <w:t>Ministerial Formation Program</w:t>
            </w:r>
          </w:p>
        </w:tc>
        <w:tc>
          <w:tcPr>
            <w:tcW w:type="dxa" w:w="4464"/>
            <w:vAlign w:val="center"/>
          </w:tcPr>
          <w:p>
            <w:r/>
            <w:r>
              <w:rPr>
                <w:b w:val="0"/>
                <w:color w:val="111827"/>
                <w:sz w:val="17"/>
              </w:rPr>
              <w:t>Integrates courses, formation, practicum, exams, and continuing development</w:t>
            </w:r>
          </w:p>
        </w:tc>
      </w:tr>
    </w:tbl>
    <w:p/>
    <w:p>
      <w:pPr>
        <w:pStyle w:val="Heading1"/>
        <w:keepNext/>
      </w:pPr>
      <w:r>
        <w:t>2. IRS Church-Characteristic Mapping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shd w:fill="1F2937"/>
            <w:vAlign w:val="center"/>
          </w:tcPr>
          <w:p>
            <w:r/>
            <w:r>
              <w:rPr>
                <w:b/>
                <w:color w:val="FFFFFF"/>
                <w:sz w:val="18"/>
              </w:rPr>
              <w:t>IRS Characteristic / Schedule A Topic</w:t>
            </w:r>
          </w:p>
        </w:tc>
        <w:tc>
          <w:tcPr>
            <w:tcW w:type="dxa" w:w="6048"/>
            <w:shd w:fill="1F2937"/>
            <w:vAlign w:val="center"/>
          </w:tcPr>
          <w:p>
            <w:r/>
            <w:r>
              <w:rPr>
                <w:b/>
                <w:color w:val="FFFFFF"/>
                <w:sz w:val="18"/>
              </w:rPr>
              <w:t>Primary Evidence in This Batch</w:t>
            </w:r>
          </w:p>
        </w:tc>
      </w:tr>
      <w:tr>
        <w:trPr>
          <w:cantSplit/>
        </w:trPr>
        <w:tc>
          <w:tcPr>
            <w:tcW w:type="dxa" w:w="4032"/>
            <w:vAlign w:val="center"/>
          </w:tcPr>
          <w:p>
            <w:r/>
            <w:r>
              <w:rPr>
                <w:b w:val="0"/>
                <w:color w:val="111827"/>
                <w:sz w:val="17"/>
              </w:rPr>
              <w:t>Ordained ministers ministering to congregation</w:t>
            </w:r>
          </w:p>
        </w:tc>
        <w:tc>
          <w:tcPr>
            <w:tcW w:type="dxa" w:w="6048"/>
            <w:vAlign w:val="center"/>
          </w:tcPr>
          <w:p>
            <w:r/>
            <w:r>
              <w:rPr>
                <w:b w:val="0"/>
                <w:color w:val="111827"/>
                <w:sz w:val="17"/>
              </w:rPr>
              <w:t>CH-024, CH-025, CH-027, CH-028, CH-029</w:t>
            </w:r>
          </w:p>
        </w:tc>
      </w:tr>
      <w:tr>
        <w:trPr>
          <w:cantSplit/>
        </w:trPr>
        <w:tc>
          <w:tcPr>
            <w:tcW w:type="dxa" w:w="4032"/>
            <w:vAlign w:val="center"/>
          </w:tcPr>
          <w:p>
            <w:r/>
            <w:r>
              <w:rPr>
                <w:b w:val="0"/>
                <w:color w:val="111827"/>
                <w:sz w:val="17"/>
              </w:rPr>
              <w:t>Ministers selected after prescribed course of study</w:t>
            </w:r>
          </w:p>
        </w:tc>
        <w:tc>
          <w:tcPr>
            <w:tcW w:type="dxa" w:w="6048"/>
            <w:vAlign w:val="center"/>
          </w:tcPr>
          <w:p>
            <w:r/>
            <w:r>
              <w:rPr>
                <w:b w:val="0"/>
                <w:color w:val="111827"/>
                <w:sz w:val="17"/>
              </w:rPr>
              <w:t>CH-026, CH-033 and candidate records</w:t>
            </w:r>
          </w:p>
        </w:tc>
      </w:tr>
      <w:tr>
        <w:trPr>
          <w:cantSplit/>
        </w:trPr>
        <w:tc>
          <w:tcPr>
            <w:tcW w:type="dxa" w:w="4032"/>
            <w:vAlign w:val="center"/>
          </w:tcPr>
          <w:p>
            <w:r/>
            <w:r>
              <w:rPr>
                <w:b w:val="0"/>
                <w:color w:val="111827"/>
                <w:sz w:val="17"/>
              </w:rPr>
              <w:t>Literature of its own</w:t>
            </w:r>
          </w:p>
        </w:tc>
        <w:tc>
          <w:tcPr>
            <w:tcW w:type="dxa" w:w="6048"/>
            <w:vAlign w:val="center"/>
          </w:tcPr>
          <w:p>
            <w:r/>
            <w:r>
              <w:rPr>
                <w:b w:val="0"/>
                <w:color w:val="111827"/>
                <w:sz w:val="17"/>
              </w:rPr>
              <w:t>CH-030 plus actual published corpus</w:t>
            </w:r>
          </w:p>
        </w:tc>
      </w:tr>
      <w:tr>
        <w:trPr>
          <w:cantSplit/>
        </w:trPr>
        <w:tc>
          <w:tcPr>
            <w:tcW w:type="dxa" w:w="4032"/>
            <w:vAlign w:val="center"/>
          </w:tcPr>
          <w:p>
            <w:r/>
            <w:r>
              <w:rPr>
                <w:b w:val="0"/>
                <w:color w:val="111827"/>
                <w:sz w:val="17"/>
              </w:rPr>
              <w:t>Religious instruction of the young</w:t>
            </w:r>
          </w:p>
        </w:tc>
        <w:tc>
          <w:tcPr>
            <w:tcW w:type="dxa" w:w="6048"/>
            <w:vAlign w:val="center"/>
          </w:tcPr>
          <w:p>
            <w:r/>
            <w:r>
              <w:rPr>
                <w:b w:val="0"/>
                <w:color w:val="111827"/>
                <w:sz w:val="17"/>
              </w:rPr>
              <w:t>CH-032 plus actual recurring youth program records if/when activated</w:t>
            </w:r>
          </w:p>
        </w:tc>
      </w:tr>
      <w:tr>
        <w:trPr>
          <w:cantSplit/>
        </w:trPr>
        <w:tc>
          <w:tcPr>
            <w:tcW w:type="dxa" w:w="4032"/>
            <w:vAlign w:val="center"/>
          </w:tcPr>
          <w:p>
            <w:r/>
            <w:r>
              <w:rPr>
                <w:b w:val="0"/>
                <w:color w:val="111827"/>
                <w:sz w:val="17"/>
              </w:rPr>
              <w:t>Schools/preparation of ministers</w:t>
            </w:r>
          </w:p>
        </w:tc>
        <w:tc>
          <w:tcPr>
            <w:tcW w:type="dxa" w:w="6048"/>
            <w:vAlign w:val="center"/>
          </w:tcPr>
          <w:p>
            <w:r/>
            <w:r>
              <w:rPr>
                <w:b w:val="0"/>
                <w:color w:val="111827"/>
                <w:sz w:val="17"/>
              </w:rPr>
              <w:t>CH-026/033; actual candidacy, course, practicum, and exam records</w:t>
            </w:r>
          </w:p>
        </w:tc>
      </w:tr>
      <w:tr>
        <w:trPr>
          <w:cantSplit/>
        </w:trPr>
        <w:tc>
          <w:tcPr>
            <w:tcW w:type="dxa" w:w="4032"/>
            <w:vAlign w:val="center"/>
          </w:tcPr>
          <w:p>
            <w:r/>
            <w:r>
              <w:rPr>
                <w:b w:val="0"/>
                <w:color w:val="111827"/>
                <w:sz w:val="17"/>
              </w:rPr>
              <w:t>Religious teaching and member formation</w:t>
            </w:r>
          </w:p>
        </w:tc>
        <w:tc>
          <w:tcPr>
            <w:tcW w:type="dxa" w:w="6048"/>
            <w:vAlign w:val="center"/>
          </w:tcPr>
          <w:p>
            <w:r/>
            <w:r>
              <w:rPr>
                <w:b w:val="0"/>
                <w:color w:val="111827"/>
                <w:sz w:val="17"/>
              </w:rPr>
              <w:t>CH-031 plus teaching/session records</w:t>
            </w:r>
          </w:p>
        </w:tc>
      </w:tr>
    </w:tbl>
    <w:p/>
    <w:p>
      <w:pPr>
        <w:keepLines/>
      </w:pPr>
      <w:r>
        <w:t>Current IRS instructions state that a prescribed course of study may be formal or informal but does not include self-ordination or simply paying for an ordination certificate without completing a course of study. The existence of these documents alone is not enough; actual implementation and records matter.</w:t>
      </w:r>
    </w:p>
    <w:p>
      <w:pPr>
        <w:pStyle w:val="Heading1"/>
        <w:keepNext/>
      </w:pPr>
      <w:r>
        <w:t>3. Adoption Dependencies</w:t>
      </w:r>
    </w:p>
    <w:p>
      <w:pPr>
        <w:pStyle w:val="ListBullet"/>
        <w:keepLines/>
      </w:pPr>
      <w:r>
        <w:t>CH-024/025 should be aligned with MIN-001 and ECC-CON-001 before adoption.</w:t>
      </w:r>
    </w:p>
    <w:p>
      <w:pPr>
        <w:pStyle w:val="ListBullet"/>
        <w:keepLines/>
      </w:pPr>
      <w:r>
        <w:t>CH-026 and CH-033 should be adopted before ordinary ordination candidates are represented as having completed a prescribed course of study.</w:t>
      </w:r>
    </w:p>
    <w:p>
      <w:pPr>
        <w:pStyle w:val="ListBullet"/>
        <w:keepLines/>
      </w:pPr>
      <w:r>
        <w:t>CH-027/028/029 should be operational before issuing mature credentials.</w:t>
      </w:r>
    </w:p>
    <w:p>
      <w:pPr>
        <w:pStyle w:val="ListBullet"/>
        <w:keepLines/>
      </w:pPr>
      <w:r>
        <w:t>CH-032 should not be activated until safeguarding controls, facilities, supervision, and legally required screening/reporting procedures are ready.</w:t>
      </w:r>
    </w:p>
    <w:p>
      <w:pPr>
        <w:pStyle w:val="ListBullet"/>
        <w:keepLines/>
      </w:pPr>
      <w:r>
        <w:t>CH-030 becomes evidentially meaningful as actual publications accumulate.</w:t>
      </w:r>
    </w:p>
    <w:p>
      <w:pPr>
        <w:pStyle w:val="Heading1"/>
        <w:keepNext/>
      </w:pPr>
      <w:r>
        <w:t>4. Evidence Rule</w:t>
      </w:r>
    </w:p>
    <w:p>
      <w:pPr>
        <w:keepLines/>
      </w:pPr>
      <w:r>
        <w:t>No course, ministry hour, ordination, credential, youth program, teaching session, publication, or personnel review may be backfilled as though it occurred contemporaneously when it did not. Historical reconstruction, if ever necessary, must be clearly labeled and supported by available evidence.</w:t>
      </w:r>
    </w:p>
    <w:p>
      <w:pPr>
        <w:pStyle w:val="Heading1"/>
        <w:keepNext/>
      </w:pPr>
      <w:r>
        <w:t>5. Next Production Boundary</w:t>
      </w:r>
    </w:p>
    <w:p>
      <w:pPr>
        <w:keepLines/>
      </w:pPr>
      <w:r>
        <w:t>After this batch, the master sequence moves to CH-034 through CH-048: activities narrative, organizational chart, governing-body roster, organizational minutes alignment, conflicts, compensation, financial controls, contributions, budget/financial statements, insider transactions, political/lobbying compliance, private benefit/inurement, and records retention. That batch prepares the operational/compliance foundation for CH-049 through CH-054, the actual Form 1023/Schedule A submission package.</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[[ECCLESIASTICAL / CORPORATE AUTHORITIES AS APPLICABLE]]</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MINED-001 | Ministry and Religious Education Layer Production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