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Operational Implementation Manuals Completion Binder</w:t>
      </w:r>
    </w:p>
    <w:p>
      <w:pPr>
        <w:jc w:val="center"/>
      </w:pPr>
      <w:r>
        <w:rPr>
          <w:i/>
          <w:sz w:val="20"/>
        </w:rPr>
        <w:t>Master index and activation sequence for the consolidated subordinate operating manuals and forms produced in this batch.</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OPS-IMPL-001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Implementation-Layer Production Binder</w:t>
            </w:r>
          </w:p>
        </w:tc>
      </w:tr>
      <w:tr>
        <w:tc>
          <w:tcPr>
            <w:tcW w:type="dxa" w:w="5141"/>
            <w:shd w:fill="E5E7EB"/>
            <w:vAlign w:val="center"/>
          </w:tcPr>
          <w:p>
            <w:r>
              <w:rPr>
                <w:b/>
                <w:sz w:val="17"/>
              </w:rPr>
              <w:t>Parent</w:t>
            </w:r>
          </w:p>
        </w:tc>
        <w:tc>
          <w:tcPr>
            <w:tcW w:type="dxa" w:w="5141"/>
            <w:vAlign w:val="center"/>
          </w:tcPr>
          <w:p>
            <w:r>
              <w:rPr>
                <w:sz w:val="17"/>
              </w:rPr>
              <w:t>Primary Constitutional / CH-001-054 Corpus</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Purpose</w:t>
      </w:r>
    </w:p>
    <w:p>
      <w:r>
        <w:t>This binder converts the completed constitutional and Church Qualification Record architecture into a practical operating layer. The manuals in this batch are subordinate instruments: they implement but do not amend superior constitutions, bylaws, codes, and adopted doctrine.</w:t>
      </w:r>
    </w:p>
    <w:p>
      <w:pPr>
        <w:pStyle w:val="Heading1"/>
      </w:pPr>
      <w:r>
        <w:t>2. Batch Inventory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72"/>
            <w:shd w:fill="D9EAF7"/>
          </w:tcPr>
          <w:p>
            <w:r>
              <w:rPr>
                <w:b/>
                <w:sz w:val="16"/>
              </w:rPr>
              <w:t>ID</w:t>
            </w:r>
          </w:p>
        </w:tc>
        <w:tc>
          <w:tcPr>
            <w:tcW w:type="dxa" w:w="3024"/>
            <w:shd w:fill="D9EAF7"/>
          </w:tcPr>
          <w:p>
            <w:r>
              <w:rPr>
                <w:b/>
                <w:sz w:val="16"/>
              </w:rPr>
              <w:t>Manual</w:t>
            </w:r>
          </w:p>
        </w:tc>
        <w:tc>
          <w:tcPr>
            <w:tcW w:type="dxa" w:w="4032"/>
            <w:shd w:fill="D9EAF7"/>
          </w:tcPr>
          <w:p>
            <w:r>
              <w:rPr>
                <w:b/>
                <w:sz w:val="16"/>
              </w:rPr>
              <w:t>Coverage</w:t>
            </w:r>
          </w:p>
        </w:tc>
        <w:tc>
          <w:tcPr>
            <w:tcW w:type="dxa" w:w="3312"/>
            <w:shd w:fill="D9EAF7"/>
          </w:tcPr>
          <w:p>
            <w:r>
              <w:rPr>
                <w:b/>
                <w:sz w:val="16"/>
              </w:rPr>
              <w:t>Activation</w:t>
            </w:r>
          </w:p>
        </w:tc>
      </w:tr>
      <w:tr>
        <w:tc>
          <w:tcPr>
            <w:tcW w:type="dxa" w:w="1872"/>
            <w:vAlign w:val="top"/>
          </w:tcPr>
          <w:p>
            <w:r>
              <w:rPr>
                <w:sz w:val="16"/>
              </w:rPr>
              <w:t>SAFE-OPS-001</w:t>
            </w:r>
          </w:p>
        </w:tc>
        <w:tc>
          <w:tcPr>
            <w:tcW w:type="dxa" w:w="3024"/>
            <w:vAlign w:val="top"/>
          </w:tcPr>
          <w:p>
            <w:r>
              <w:rPr>
                <w:sz w:val="16"/>
              </w:rPr>
              <w:t>Safeguarding Procedures and Forms Manual</w:t>
            </w:r>
          </w:p>
        </w:tc>
        <w:tc>
          <w:tcPr>
            <w:tcW w:type="dxa" w:w="4032"/>
            <w:vAlign w:val="top"/>
          </w:tcPr>
          <w:p>
            <w:r>
              <w:rPr>
                <w:sz w:val="16"/>
              </w:rPr>
              <w:t>SAFE-002 through SAFE-015 + seven core forms</w:t>
            </w:r>
          </w:p>
        </w:tc>
        <w:tc>
          <w:tcPr>
            <w:tcW w:type="dxa" w:w="3312"/>
            <w:vAlign w:val="top"/>
          </w:tcPr>
          <w:p>
            <w:r>
              <w:rPr>
                <w:sz w:val="16"/>
              </w:rPr>
              <w:t>Activate before youth/vulnerable-person or material pastoral programs</w:t>
            </w:r>
          </w:p>
        </w:tc>
      </w:tr>
      <w:tr>
        <w:tc>
          <w:tcPr>
            <w:tcW w:type="dxa" w:w="1872"/>
            <w:vAlign w:val="top"/>
          </w:tcPr>
          <w:p>
            <w:r>
              <w:rPr>
                <w:sz w:val="16"/>
              </w:rPr>
              <w:t>FIN-POL-001</w:t>
            </w:r>
          </w:p>
        </w:tc>
        <w:tc>
          <w:tcPr>
            <w:tcW w:type="dxa" w:w="3024"/>
            <w:vAlign w:val="top"/>
          </w:tcPr>
          <w:p>
            <w:r>
              <w:rPr>
                <w:sz w:val="16"/>
              </w:rPr>
              <w:t>Financial Policies and Procedures Manual</w:t>
            </w:r>
          </w:p>
        </w:tc>
        <w:tc>
          <w:tcPr>
            <w:tcW w:type="dxa" w:w="4032"/>
            <w:vAlign w:val="top"/>
          </w:tcPr>
          <w:p>
            <w:r>
              <w:rPr>
                <w:sz w:val="16"/>
              </w:rPr>
              <w:t>FIN-AUTH/GIFT/BUD/CASH/PROC/INV/RES/DEBT/PROP/FRAUD/AUDIT/REP/GRANT/DIG</w:t>
            </w:r>
          </w:p>
        </w:tc>
        <w:tc>
          <w:tcPr>
            <w:tcW w:type="dxa" w:w="3312"/>
            <w:vAlign w:val="top"/>
          </w:tcPr>
          <w:p>
            <w:r>
              <w:rPr>
                <w:sz w:val="16"/>
              </w:rPr>
              <w:t>Activate before material funds/assets</w:t>
            </w:r>
          </w:p>
        </w:tc>
      </w:tr>
      <w:tr>
        <w:tc>
          <w:tcPr>
            <w:tcW w:type="dxa" w:w="1872"/>
            <w:vAlign w:val="top"/>
          </w:tcPr>
          <w:p>
            <w:r>
              <w:rPr>
                <w:sz w:val="16"/>
              </w:rPr>
              <w:t>MIN-OPS-001</w:t>
            </w:r>
          </w:p>
        </w:tc>
        <w:tc>
          <w:tcPr>
            <w:tcW w:type="dxa" w:w="3024"/>
            <w:vAlign w:val="top"/>
          </w:tcPr>
          <w:p>
            <w:r>
              <w:rPr>
                <w:sz w:val="16"/>
              </w:rPr>
              <w:t>Ministerial Credentialing Procedures and Forms</w:t>
            </w:r>
          </w:p>
        </w:tc>
        <w:tc>
          <w:tcPr>
            <w:tcW w:type="dxa" w:w="4032"/>
            <w:vAlign w:val="top"/>
          </w:tcPr>
          <w:p>
            <w:r>
              <w:rPr>
                <w:sz w:val="16"/>
              </w:rPr>
              <w:t>MIN-COV/FORMS/EXAM/CRED/PROC/REVIEW/RESTORE/VERIFY/CHAP</w:t>
            </w:r>
          </w:p>
        </w:tc>
        <w:tc>
          <w:tcPr>
            <w:tcW w:type="dxa" w:w="3312"/>
            <w:vAlign w:val="top"/>
          </w:tcPr>
          <w:p>
            <w:r>
              <w:rPr>
                <w:sz w:val="16"/>
              </w:rPr>
              <w:t>Activate before mature credential issuance</w:t>
            </w:r>
          </w:p>
        </w:tc>
      </w:tr>
      <w:tr>
        <w:tc>
          <w:tcPr>
            <w:tcW w:type="dxa" w:w="1872"/>
            <w:vAlign w:val="top"/>
          </w:tcPr>
          <w:p>
            <w:r>
              <w:rPr>
                <w:sz w:val="16"/>
              </w:rPr>
              <w:t>DISC-PROC-001</w:t>
            </w:r>
          </w:p>
        </w:tc>
        <w:tc>
          <w:tcPr>
            <w:tcW w:type="dxa" w:w="3024"/>
            <w:vAlign w:val="top"/>
          </w:tcPr>
          <w:p>
            <w:r>
              <w:rPr>
                <w:sz w:val="16"/>
              </w:rPr>
              <w:t>Disciplinary Procedure Manual and Forms</w:t>
            </w:r>
          </w:p>
        </w:tc>
        <w:tc>
          <w:tcPr>
            <w:tcW w:type="dxa" w:w="4032"/>
            <w:vAlign w:val="top"/>
          </w:tcPr>
          <w:p>
            <w:r>
              <w:rPr>
                <w:sz w:val="16"/>
              </w:rPr>
              <w:t>intake through appeal/closure</w:t>
            </w:r>
          </w:p>
        </w:tc>
        <w:tc>
          <w:tcPr>
            <w:tcW w:type="dxa" w:w="3312"/>
            <w:vAlign w:val="top"/>
          </w:tcPr>
          <w:p>
            <w:r>
              <w:rPr>
                <w:sz w:val="16"/>
              </w:rPr>
              <w:t>Activate before formal discipline; coordinate with safeguarding</w:t>
            </w:r>
          </w:p>
        </w:tc>
      </w:tr>
      <w:tr>
        <w:tc>
          <w:tcPr>
            <w:tcW w:type="dxa" w:w="1872"/>
            <w:vAlign w:val="top"/>
          </w:tcPr>
          <w:p>
            <w:r>
              <w:rPr>
                <w:sz w:val="16"/>
              </w:rPr>
              <w:t>GOV-FORMS-001</w:t>
            </w:r>
          </w:p>
        </w:tc>
        <w:tc>
          <w:tcPr>
            <w:tcW w:type="dxa" w:w="3024"/>
            <w:vAlign w:val="top"/>
          </w:tcPr>
          <w:p>
            <w:r>
              <w:rPr>
                <w:sz w:val="16"/>
              </w:rPr>
              <w:t>Governance Forms and Decision Records Manual</w:t>
            </w:r>
          </w:p>
        </w:tc>
        <w:tc>
          <w:tcPr>
            <w:tcW w:type="dxa" w:w="4032"/>
            <w:vAlign w:val="top"/>
          </w:tcPr>
          <w:p>
            <w:r>
              <w:rPr>
                <w:sz w:val="16"/>
              </w:rPr>
              <w:t>GOV-NOT/AGD/REC/DEC/EMG/VAL/RECOV</w:t>
            </w:r>
          </w:p>
        </w:tc>
        <w:tc>
          <w:tcPr>
            <w:tcW w:type="dxa" w:w="3312"/>
            <w:vAlign w:val="top"/>
          </w:tcPr>
          <w:p>
            <w:r>
              <w:rPr>
                <w:sz w:val="16"/>
              </w:rPr>
              <w:t>Activate with initial governance bodies</w:t>
            </w:r>
          </w:p>
        </w:tc>
      </w:tr>
      <w:tr>
        <w:tc>
          <w:tcPr>
            <w:tcW w:type="dxa" w:w="1872"/>
            <w:vAlign w:val="top"/>
          </w:tcPr>
          <w:p>
            <w:r>
              <w:rPr>
                <w:sz w:val="16"/>
              </w:rPr>
              <w:t>SUCC-OPS-001</w:t>
            </w:r>
          </w:p>
        </w:tc>
        <w:tc>
          <w:tcPr>
            <w:tcW w:type="dxa" w:w="3024"/>
            <w:vAlign w:val="top"/>
          </w:tcPr>
          <w:p>
            <w:r>
              <w:rPr>
                <w:sz w:val="16"/>
              </w:rPr>
              <w:t>Leadership Succession Procedures and Forms</w:t>
            </w:r>
          </w:p>
        </w:tc>
        <w:tc>
          <w:tcPr>
            <w:tcW w:type="dxa" w:w="4032"/>
            <w:vAlign w:val="top"/>
          </w:tcPr>
          <w:p>
            <w:r>
              <w:rPr>
                <w:sz w:val="16"/>
              </w:rPr>
              <w:t>vacancy/interim/selection/transition/installation</w:t>
            </w:r>
          </w:p>
        </w:tc>
        <w:tc>
          <w:tcPr>
            <w:tcW w:type="dxa" w:w="3312"/>
            <w:vAlign w:val="top"/>
          </w:tcPr>
          <w:p>
            <w:r>
              <w:rPr>
                <w:sz w:val="16"/>
              </w:rPr>
              <w:t>Activate before leadership dependence develops</w:t>
            </w:r>
          </w:p>
        </w:tc>
      </w:tr>
      <w:tr>
        <w:tc>
          <w:tcPr>
            <w:tcW w:type="dxa" w:w="1872"/>
            <w:vAlign w:val="top"/>
          </w:tcPr>
          <w:p>
            <w:r>
              <w:rPr>
                <w:sz w:val="16"/>
              </w:rPr>
              <w:t>DOC-OPS-001</w:t>
            </w:r>
          </w:p>
        </w:tc>
        <w:tc>
          <w:tcPr>
            <w:tcW w:type="dxa" w:w="3024"/>
            <w:vAlign w:val="top"/>
          </w:tcPr>
          <w:p>
            <w:r>
              <w:rPr>
                <w:sz w:val="16"/>
              </w:rPr>
              <w:t>Doctrine Docket and Teaching Classification Procedures</w:t>
            </w:r>
          </w:p>
        </w:tc>
        <w:tc>
          <w:tcPr>
            <w:tcW w:type="dxa" w:w="4032"/>
            <w:vAlign w:val="top"/>
          </w:tcPr>
          <w:p>
            <w:r>
              <w:rPr>
                <w:sz w:val="16"/>
              </w:rPr>
              <w:t>doctrine docket + classification/correction forms</w:t>
            </w:r>
          </w:p>
        </w:tc>
        <w:tc>
          <w:tcPr>
            <w:tcW w:type="dxa" w:w="3312"/>
            <w:vAlign w:val="top"/>
          </w:tcPr>
          <w:p>
            <w:r>
              <w:rPr>
                <w:sz w:val="16"/>
              </w:rPr>
              <w:t>Activate before formal doctrinal development beyond initial baseline</w:t>
            </w:r>
          </w:p>
        </w:tc>
      </w:tr>
      <w:tr>
        <w:tc>
          <w:tcPr>
            <w:tcW w:type="dxa" w:w="1872"/>
            <w:vAlign w:val="top"/>
          </w:tcPr>
          <w:p>
            <w:r>
              <w:rPr>
                <w:sz w:val="16"/>
              </w:rPr>
              <w:t>LOCAL-AFF-OPS-001</w:t>
            </w:r>
          </w:p>
        </w:tc>
        <w:tc>
          <w:tcPr>
            <w:tcW w:type="dxa" w:w="3024"/>
            <w:vAlign w:val="top"/>
          </w:tcPr>
          <w:p>
            <w:r>
              <w:rPr>
                <w:sz w:val="16"/>
              </w:rPr>
              <w:t>Local Community and Affiliation Implementation Manual</w:t>
            </w:r>
          </w:p>
        </w:tc>
        <w:tc>
          <w:tcPr>
            <w:tcW w:type="dxa" w:w="4032"/>
            <w:vAlign w:val="top"/>
          </w:tcPr>
          <w:p>
            <w:r>
              <w:rPr>
                <w:sz w:val="16"/>
              </w:rPr>
              <w:t>local charter + affiliation/disaffiliation procedures/forms</w:t>
            </w:r>
          </w:p>
        </w:tc>
        <w:tc>
          <w:tcPr>
            <w:tcW w:type="dxa" w:w="3312"/>
            <w:vAlign w:val="top"/>
          </w:tcPr>
          <w:p>
            <w:r>
              <w:rPr>
                <w:sz w:val="16"/>
              </w:rPr>
              <w:t>Activate when local communities/affiliations become real</w:t>
            </w:r>
          </w:p>
        </w:tc>
      </w:tr>
    </w:tbl>
    <w:p>
      <w:pPr>
        <w:pStyle w:val="Heading1"/>
      </w:pPr>
      <w:r>
        <w:t>3. Activation Order</w:t>
      </w:r>
    </w:p>
    <w:p>
      <w:pPr>
        <w:pStyle w:val="ListNumber"/>
      </w:pPr>
      <w:r>
        <w:t>GOV-FORMS-001 - establish valid notices, agendas, resolutions, recusals, emergency and recovery records.</w:t>
      </w:r>
    </w:p>
    <w:p>
      <w:pPr>
        <w:pStyle w:val="ListNumber"/>
      </w:pPr>
      <w:r>
        <w:t>SAFE-OPS-001 - establish reporting channels and safeguarding controls before vulnerable-person programs.</w:t>
      </w:r>
    </w:p>
    <w:p>
      <w:pPr>
        <w:pStyle w:val="ListNumber"/>
      </w:pPr>
      <w:r>
        <w:t>FIN-POL-001 - establish banking, approval, restricted-fund, reconciliation, and reporting controls before material funds.</w:t>
      </w:r>
    </w:p>
    <w:p>
      <w:pPr>
        <w:pStyle w:val="ListNumber"/>
      </w:pPr>
      <w:r>
        <w:t>MIN-OPS-001 - operationalize formation and credential decisions before mature ordination/credential claims.</w:t>
      </w:r>
    </w:p>
    <w:p>
      <w:pPr>
        <w:pStyle w:val="ListNumber"/>
      </w:pPr>
      <w:r>
        <w:t>DISC-PROC-001 - establish fair case administration before formal discipline is needed.</w:t>
      </w:r>
    </w:p>
    <w:p>
      <w:pPr>
        <w:pStyle w:val="ListNumber"/>
      </w:pPr>
      <w:r>
        <w:t>DOC-OPS-001 - use for every proposed binding doctrinal or authoritative-interpretation act.</w:t>
      </w:r>
    </w:p>
    <w:p>
      <w:pPr>
        <w:pStyle w:val="ListNumber"/>
      </w:pPr>
      <w:r>
        <w:t>SUCC-OPS-001 - complete vacancy/transition readiness before any key office becomes a single point of failure.</w:t>
      </w:r>
    </w:p>
    <w:p>
      <w:pPr>
        <w:pStyle w:val="ListNumber"/>
      </w:pPr>
      <w:r>
        <w:t>LOCAL-AFF-OPS-001 - activate only when local communities or external affiliations are actually contemplated.</w:t>
      </w:r>
    </w:p>
    <w:p>
      <w:pPr>
        <w:pStyle w:val="Heading1"/>
      </w:pPr>
      <w:r>
        <w:t>4. Non-Fabrication and Version-Control Rule</w:t>
      </w:r>
    </w:p>
    <w:p>
      <w:pPr>
        <w:pStyle w:val="ListBullet"/>
      </w:pPr>
      <w:r>
        <w:t>Templates do not prove that an activity occurred.</w:t>
      </w:r>
    </w:p>
    <w:p>
      <w:pPr>
        <w:pStyle w:val="ListBullet"/>
      </w:pPr>
      <w:r>
        <w:t>Operational records shall be created contemporaneously and identify the responsible actor/date.</w:t>
      </w:r>
    </w:p>
    <w:p>
      <w:pPr>
        <w:pStyle w:val="ListBullet"/>
      </w:pPr>
      <w:r>
        <w:t>Superseded manuals and forms remain archived under CH-048.</w:t>
      </w:r>
    </w:p>
    <w:p>
      <w:pPr>
        <w:pStyle w:val="ListBullet"/>
      </w:pPr>
      <w:r>
        <w:t>Material deviations from a procedure should be documented rather than silently normalized.</w:t>
      </w:r>
    </w:p>
    <w:p>
      <w:pPr>
        <w:pStyle w:val="ListBullet"/>
      </w:pPr>
      <w:r>
        <w:t>Where civil law, insurance, professional advice, or platform terms impose a stricter rule, the organization shall comply without pretending the external rule is religious doctrine.</w:t>
      </w:r>
    </w:p>
    <w:p>
      <w:pPr>
        <w:pStyle w:val="Heading1"/>
      </w:pPr>
      <w:r>
        <w:t>5. Remaining Future-Scale Instruments</w:t>
      </w:r>
    </w:p>
    <w:p>
      <w:r>
        <w:t>After this batch, no additional broad operating-manual layer is necessary for launch. Future documents should be triggered by actual scale or activity, such as a standing MFCC charter, investment/endowment operating statements tied to real assets, facility-specific emergency plans, employee handbook, insurance-specific procedures, local-community charters for actual communities, grant-specific manuals, or jurisdiction-specific policies.</w:t>
      </w:r>
    </w:p>
    <w:p>
      <w:r>
        <w:br w:type="page"/>
      </w:r>
    </w:p>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OPS-IMPL-001 | Operational Implementation Manuals Completion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