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Statement of Charges</w:t>
      </w:r>
    </w:p>
    <w:p>
      <w:pPr>
        <w:jc w:val="center"/>
      </w:pPr>
      <w:r>
        <w:rPr>
          <w:b/>
          <w:color w:val="1F4E78"/>
        </w:rPr>
        <w:t>DISC-CHG-001 -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DISC-CHG-001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State each formal allegation with enough specificity for fair notice and response.</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only after competent authority determines formal charges are warranted.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supporting charge schedule, service/notice evidence, and governing provisions.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Respondent</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Charge</w:t>
            </w:r>
            <w:r>
              <w:rPr>
                <w:color w:val="5F5F5F"/>
                <w:sz w:val="15"/>
              </w:rPr>
              <w:br/>
              <w:t>Enter the verified information required for “Charge”.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Governing provision</w:t>
            </w:r>
            <w:r>
              <w:rPr>
                <w:color w:val="5F5F5F"/>
                <w:sz w:val="15"/>
              </w:rPr>
              <w:br/>
              <w:t>Enter the verified information required for “Governing provision”.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Factual particulars</w:t>
            </w:r>
            <w:r>
              <w:rPr>
                <w:color w:val="5F5F5F"/>
                <w:sz w:val="15"/>
              </w:rPr>
              <w:br/>
              <w:t>Enter the verified information required for “Factual particulars”.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Notice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Response deadline</w:t>
            </w:r>
            <w:r>
              <w:rPr>
                <w:color w:val="5F5F5F"/>
                <w:sz w:val="15"/>
              </w:rPr>
              <w:br/>
              <w:t>Enter the verified information required for “Response deadline”.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DISC-CHG-001 | Statement of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