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Emergency Declaration</w:t>
      </w:r>
    </w:p>
    <w:p>
      <w:pPr>
        <w:jc w:val="center"/>
      </w:pPr>
      <w:r>
        <w:rPr>
          <w:b/>
          <w:color w:val="1F4E78"/>
        </w:rPr>
        <w:t>GOV-EMG-001 -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GOV-EMG-001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GOV-FORMS-001 / GOV-PROC-001 / BYL-001 / ECC-CON-001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Bound emergency authority by documenting trigger, scope, deviations, expiration, and required review.</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before or immediately upon exercising emergency governance authority.</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Secretary / Recorder / body convener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The acting governing body and any required concurring/review body</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evidence of emergency, notifications, actions taken, renewals, and retrospective review.</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Governance record. Mark executive-session or restricted material separately; public release is not automatic.</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governance archive for material notices, decisions, resolutions, emergency actions, validity reviews, and recovery plans.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Emergency</w:t>
            </w:r>
            <w:r>
              <w:rPr>
                <w:color w:val="5F5F5F"/>
                <w:sz w:val="15"/>
              </w:rPr>
              <w:br/>
              <w:t>Enter the verified information required for “Emergency”.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Authority</w:t>
            </w:r>
            <w:r>
              <w:rPr>
                <w:color w:val="5F5F5F"/>
                <w:sz w:val="15"/>
              </w:rPr>
              <w:br/>
              <w:t>Cite the governing provision or decision granting authority.</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Reason</w:t>
            </w:r>
            <w:r>
              <w:rPr>
                <w:color w:val="5F5F5F"/>
                <w:sz w:val="15"/>
              </w:rPr>
              <w:br/>
              <w:t>State the factual and governing reason; distinguish fact from inference.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Powers activated</w:t>
            </w:r>
            <w:r>
              <w:rPr>
                <w:color w:val="5F5F5F"/>
                <w:sz w:val="15"/>
              </w:rPr>
              <w:br/>
              <w:t>Enter the verified information required for “Powers activated”.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Normal controls affected</w:t>
            </w:r>
            <w:r>
              <w:rPr>
                <w:color w:val="5F5F5F"/>
                <w:sz w:val="15"/>
              </w:rPr>
              <w:br/>
              <w:t>Enter the verified information required for “Normal controls affected”.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Start</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Expiration</w:t>
            </w:r>
            <w:r>
              <w:rPr>
                <w:color w:val="5F5F5F"/>
                <w:sz w:val="15"/>
              </w:rPr>
              <w:br/>
              <w:t>Enter the verified information required for “Expiration”.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Review body</w:t>
            </w:r>
            <w:r>
              <w:rPr>
                <w:color w:val="5F5F5F"/>
                <w:sz w:val="15"/>
              </w:rPr>
              <w:br/>
              <w:t>Enter the verified information required for “Review body”.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Retrospective review 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GOV-EMG-001 | Emergency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