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Meeting Notice</w:t>
      </w:r>
    </w:p>
    <w:p>
      <w:pPr>
        <w:jc w:val="center"/>
      </w:pPr>
      <w:r>
        <w:rPr>
          <w:b/>
          <w:color w:val="1F4E78"/>
        </w:rPr>
        <w:t>GOV-NOT-001 -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GOV-NOT-001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GOV-FORMS-001 / GOV-PROC-001 / BYL-001 / ECC-CON-001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Provide formal notice sufficient for participants to know when, where, and what consequential business will be considered.</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for every meeting requiring formal notice under the governing corpus.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Secretary / Recorder / body convener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The acting governing body and any required concurring/review body</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agenda and materials or identify where they are available.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Governance record. Mark executive-session or restricted material separately; public release is not automatic.</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governance archive for material notices, decisions, resolutions, emergency actions, validity reviews, and recovery plans.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Body</w:t>
            </w:r>
            <w:r>
              <w:rPr>
                <w:color w:val="5F5F5F"/>
                <w:sz w:val="15"/>
              </w:rPr>
              <w:br/>
              <w:t>Enter the verified information required for “Body”.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Meeting type</w:t>
            </w:r>
            <w:r>
              <w:rPr>
                <w:color w:val="5F5F5F"/>
                <w:sz w:val="15"/>
              </w:rPr>
              <w:br/>
              <w:t>Enter the verified information required for “Meeting type”.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Date/time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Location/method</w:t>
            </w:r>
            <w:r>
              <w:rPr>
                <w:color w:val="5F5F5F"/>
                <w:sz w:val="15"/>
              </w:rPr>
              <w:br/>
              <w:t>Enter the verified information required for “Location/method”.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Business</w:t>
            </w:r>
            <w:r>
              <w:rPr>
                <w:color w:val="5F5F5F"/>
                <w:sz w:val="15"/>
              </w:rPr>
              <w:br/>
              <w:t>Enter the verified information required for “Business”.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 classes</w:t>
            </w:r>
            <w:r>
              <w:rPr>
                <w:color w:val="5F5F5F"/>
                <w:sz w:val="15"/>
              </w:rPr>
              <w:br/>
              <w:t>Enter the verified information required for “Decision classes”.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Materials</w:t>
            </w:r>
            <w:r>
              <w:rPr>
                <w:color w:val="5F5F5F"/>
                <w:sz w:val="15"/>
              </w:rPr>
              <w:br/>
              <w:t>Enter the verified information required for “Materials”.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Notice issued by/date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GOV-NOT-001 | Meeting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