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Institutional Recovery Plan</w:t>
      </w:r>
    </w:p>
    <w:p>
      <w:pPr>
        <w:jc w:val="center"/>
      </w:pPr>
      <w:r>
        <w:rPr>
          <w:b/>
          <w:color w:val="1F4E78"/>
        </w:rPr>
        <w:t>GOV-RECOV-001 -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GOV-RECOV-001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GOV-FORMS-001 / GOV-PROC-001 / BYL-001 / ECC-CON-001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Restore a failed or nonfunctional constitutional body without permanently transferring its powers elsewhere.</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 a governing body cannot lawfully or practically perform essential functions.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Secretary / Recorder / body convener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The acting governing body and any required concurring/review body</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vacancy/failed-function evidence, temporary appointments, recovery milestones, and review records.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Governance record. Mark executive-session or restricted material separately; public release is not automatic.</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governance archive for material notices, decisions, resolutions, emergency actions, validity reviews, and recovery plans.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Failed body/function</w:t>
            </w:r>
            <w:r>
              <w:rPr>
                <w:color w:val="5F5F5F"/>
                <w:sz w:val="15"/>
              </w:rPr>
              <w:br/>
              <w:t>Enter the verified information required for “Failed body/function”.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Cause</w:t>
            </w:r>
            <w:r>
              <w:rPr>
                <w:color w:val="5F5F5F"/>
                <w:sz w:val="15"/>
              </w:rPr>
              <w:br/>
              <w:t>Enter the verified information required for “Cause”.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Essential functions preserved</w:t>
            </w:r>
            <w:r>
              <w:rPr>
                <w:color w:val="5F5F5F"/>
                <w:sz w:val="15"/>
              </w:rPr>
              <w:br/>
              <w:t>Enter the verified information required for “Essential functions preserved”.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Temporary authority</w:t>
            </w:r>
            <w:r>
              <w:rPr>
                <w:color w:val="5F5F5F"/>
                <w:sz w:val="15"/>
              </w:rPr>
              <w:br/>
              <w:t>Enter the verified information required for “Temporary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Selection/reconstitution steps</w:t>
            </w:r>
            <w:r>
              <w:rPr>
                <w:color w:val="5F5F5F"/>
                <w:sz w:val="15"/>
              </w:rPr>
              <w:br/>
              <w:t>Enter the verified information required for “Selection/reconstitution steps”.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Safeguards</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Expiration</w:t>
            </w:r>
            <w:r>
              <w:rPr>
                <w:color w:val="5F5F5F"/>
                <w:sz w:val="15"/>
              </w:rPr>
              <w:br/>
              <w:t>Enter the verified information required for “Expiration”.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w:t>
            </w:r>
            <w:r>
              <w:rPr>
                <w:color w:val="5F5F5F"/>
                <w:sz w:val="15"/>
              </w:rPr>
              <w:br/>
              <w:t>State the review date/body and review standard.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GOV-RECOV-001 | Institutional Recovery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