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 Learning Equivalency</w:t>
      </w:r>
    </w:p>
    <w:p>
      <w:pPr>
        <w:jc w:val="center"/>
      </w:pPr>
      <w:r>
        <w:rPr>
          <w:b/>
          <w:color w:val="1F4E78"/>
        </w:rPr>
        <w:t>MIN-EQ-001 -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MIN-EQ-001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Evaluate prior education, formation, or ministry experience against current competency requirements.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before waiving/reducing a prescribed requirement based on prior learning.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transcripts, syllabi, work samples, credential records, experience verification, and evaluator analysis.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Course/domain</w:t>
            </w:r>
            <w:r>
              <w:rPr>
                <w:color w:val="5F5F5F"/>
                <w:sz w:val="15"/>
              </w:rPr>
              <w:br/>
              <w:t>Enter the verified information required for “Course/domain”.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Prior evidence</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Hours/competency</w:t>
            </w:r>
            <w:r>
              <w:rPr>
                <w:color w:val="5F5F5F"/>
                <w:sz w:val="15"/>
              </w:rPr>
              <w:br/>
              <w:t>Enter the verified information required for “Hours/competency”.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Evaluator</w:t>
            </w:r>
            <w:r>
              <w:rPr>
                <w:color w:val="5F5F5F"/>
                <w:sz w:val="15"/>
              </w:rPr>
              <w:br/>
              <w:t>Enter the verified information required for “Evaluator”.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Credit granted</w:t>
            </w:r>
            <w:r>
              <w:rPr>
                <w:color w:val="5F5F5F"/>
                <w:sz w:val="15"/>
              </w:rPr>
              <w:br/>
              <w:t>Enter the verified information required for “Credit granted”.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Decision</w:t>
            </w:r>
            <w:r>
              <w:rPr>
                <w:color w:val="5F5F5F"/>
                <w:sz w:val="15"/>
              </w:rPr>
              <w:br/>
              <w:t>State the decision, decision-maker, date, and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MIN-EQ-001 | Prior Learning Equivalency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