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Protective Action Order</w:t>
      </w:r>
    </w:p>
    <w:p>
      <w:pPr>
        <w:jc w:val="center"/>
      </w:pPr>
      <w:r>
        <w:rPr>
          <w:b/>
          <w:color w:val="1F4E78"/>
        </w:rPr>
        <w:t>SAFE-PA-001 -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SAFE-PA-001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SAFE-OPS-001 / SAFE-001 / DISC-001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Authorize temporary protective measures without falsely treating them as final findings of misconduct.</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 credible risk justifies temporary restrictions or safety controls.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Safeguarding intake officer / authorized safeguarding authority</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Safeguarding authority, EAC, or qualified external reviewer depending on severity and conflicts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risk assessment, notices, review schedule, and any separate employment/access action.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Highly restricted. Disclose only as required for safety, mandatory/legal reporting, due process, insurance/counsel, or authorized institutional action.</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safeguarding case file. Preserve under CH-048 and any legal hold; serious records should not be destroyed without authorized legal/safeguarding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Case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w:t>
            </w:r>
            <w:r>
              <w:rPr>
                <w:color w:val="5F5F5F"/>
                <w:sz w:val="15"/>
              </w:rPr>
              <w:br/>
              <w:t>Cite the governing provision or decision granting authority.</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Measure</w:t>
            </w:r>
            <w:r>
              <w:rPr>
                <w:color w:val="5F5F5F"/>
                <w:sz w:val="15"/>
              </w:rPr>
              <w:br/>
              <w:t>Enter the verified information required for “Measure”.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Reason/risk addressed</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Start</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Expiration/review</w:t>
            </w:r>
            <w:r>
              <w:rPr>
                <w:color w:val="5F5F5F"/>
                <w:sz w:val="15"/>
              </w:rPr>
              <w:br/>
              <w:t>Enter the verified information required for “Expiration/review”.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Scope</w:t>
            </w:r>
            <w:r>
              <w:rPr>
                <w:color w:val="5F5F5F"/>
                <w:sz w:val="15"/>
              </w:rPr>
              <w:br/>
              <w:t>Define what is included and expressly excluded.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Notice recipients</w:t>
            </w:r>
            <w:r>
              <w:rPr>
                <w:color w:val="5F5F5F"/>
                <w:sz w:val="15"/>
              </w:rPr>
              <w:br/>
              <w:t>Enter the verified information required for “Notice recipients”.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Non-finding disclaimer</w:t>
            </w:r>
            <w:r>
              <w:rPr>
                <w:color w:val="5F5F5F"/>
                <w:sz w:val="15"/>
              </w:rPr>
              <w:br/>
              <w:t>Enter the verified information required for “Non-finding disclaimer”.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SAFE-PA-001 | Protective Action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