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59D33"/>
          <w:sz w:val="26"/>
        </w:rPr>
        <w:t>THE WAY</w:t>
      </w:r>
    </w:p>
    <w:p>
      <w:pPr>
        <w:pStyle w:val="Title"/>
        <w:jc w:val="center"/>
      </w:pPr>
      <w:r>
        <w:t>Foundational Theology Research Dossiers - Volume I</w:t>
      </w:r>
    </w:p>
    <w:p>
      <w:pPr>
        <w:pStyle w:val="Subtitle"/>
        <w:jc w:val="center"/>
      </w:pPr>
      <w:r>
        <w:t>God / Revelation / Jesus / Muhammad / Buddha / Scripture / Human Condition</w:t>
      </w:r>
    </w:p>
    <w:p>
      <w:pPr>
        <w:pStyle w:val="SmallNote"/>
        <w:spacing w:before="320"/>
        <w:jc w:val="center"/>
      </w:pPr>
      <w:r>
        <w:t>Evidence-separated research baselines; not final creed</w:t>
      </w:r>
    </w:p>
    <w:p>
      <w:pPr>
        <w:spacing w:before="600"/>
        <w:jc w:val="center"/>
      </w:pPr>
      <w:r>
        <w:rPr>
          <w:b/>
        </w:rPr>
        <w:t>Version 0.8 | September 19, 2026</w:t>
        <w:br/>
        <w:t>UNDECIDED</w:t>
        <w:br/>
        <w:t>Research draft - not a closed canon or creed</w:t>
      </w:r>
    </w:p>
    <w:p>
      <w:r>
        <w:br w:type="page"/>
      </w:r>
    </w:p>
    <w:tbl>
      <w:tblPr>
        <w:tblStyle w:val="TableGrid"/>
        <w:tblW w:type="auto" w:w="0"/>
        <w:tblLook w:firstColumn="1" w:firstRow="1" w:lastColumn="0" w:lastRow="0" w:noHBand="0" w:noVBand="1" w:val="04A0"/>
      </w:tblPr>
      <w:tblGrid>
        <w:gridCol w:w="9994"/>
      </w:tblGrid>
      <w:tr>
        <w:trPr>
          <w:tblHeader w:val="true"/>
        </w:trPr>
        <w:tc>
          <w:tcPr>
            <w:tcW w:type="dxa" w:w="9994"/>
            <w:shd w:fill="F8FAFC"/>
            <w:tcMar>
              <w:top w:w="130" w:type="dxa"/>
              <w:start w:w="160" w:type="dxa"/>
              <w:bottom w:w="130" w:type="dxa"/>
              <w:end w:w="160" w:type="dxa"/>
            </w:tcMar>
          </w:tcPr>
          <w:p>
            <w:r>
              <w:rPr>
                <w:b/>
                <w:color w:val="334155"/>
              </w:rPr>
              <w:t>Reading rule</w:t>
              <w:br/>
            </w:r>
            <w:r>
              <w:t>Each dossier separates what sources say, what history can reasonably establish, what competing traditions infer, and what the Way may currently teach. An Open Question is a positive research status, not a defect.</w:t>
            </w:r>
          </w:p>
        </w:tc>
      </w:tr>
    </w:tbl>
    <w:p>
      <w:pPr>
        <w:pStyle w:val="Heading1"/>
      </w:pPr>
      <w:r>
        <w:t>How to read confidence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232"/>
            <w:shd w:fill="334155"/>
            <w:vAlign w:val="center"/>
            <w:tcMar>
              <w:top w:w="80" w:type="dxa"/>
              <w:start w:w="90" w:type="dxa"/>
              <w:bottom w:w="80" w:type="dxa"/>
              <w:end w:w="90" w:type="dxa"/>
            </w:tcMar>
          </w:tcPr>
          <w:p>
            <w:r>
              <w:rPr>
                <w:b/>
                <w:color w:val="FFFFFF"/>
                <w:sz w:val="16"/>
              </w:rPr>
              <w:t>State</w:t>
            </w:r>
          </w:p>
        </w:tc>
        <w:tc>
          <w:tcPr>
            <w:tcW w:type="dxa" w:w="7560"/>
            <w:shd w:fill="334155"/>
            <w:vAlign w:val="center"/>
            <w:tcMar>
              <w:top w:w="80" w:type="dxa"/>
              <w:start w:w="90" w:type="dxa"/>
              <w:bottom w:w="80" w:type="dxa"/>
              <w:end w:w="90" w:type="dxa"/>
            </w:tcMar>
          </w:tcPr>
          <w:p>
            <w:r>
              <w:rPr>
                <w:b/>
                <w:color w:val="FFFFFF"/>
                <w:sz w:val="16"/>
              </w:rPr>
              <w:t>Use in these dossiers</w:t>
            </w:r>
          </w:p>
        </w:tc>
      </w:tr>
      <w:tr>
        <w:trPr>
          <w:cantSplit/>
        </w:trPr>
        <w:tc>
          <w:tcPr>
            <w:tcW w:type="dxa" w:w="2232"/>
            <w:vAlign w:val="top"/>
            <w:tcMar>
              <w:top w:w="80" w:type="dxa"/>
              <w:start w:w="90" w:type="dxa"/>
              <w:bottom w:w="80" w:type="dxa"/>
              <w:end w:w="90" w:type="dxa"/>
            </w:tcMar>
          </w:tcPr>
          <w:p>
            <w:pPr>
              <w:spacing w:after="30"/>
            </w:pPr>
            <w:r>
              <w:rPr>
                <w:sz w:val="16"/>
              </w:rPr>
              <w:t>Established</w:t>
            </w:r>
          </w:p>
        </w:tc>
        <w:tc>
          <w:tcPr>
            <w:tcW w:type="dxa" w:w="7560"/>
            <w:vAlign w:val="top"/>
            <w:tcMar>
              <w:top w:w="80" w:type="dxa"/>
              <w:start w:w="90" w:type="dxa"/>
              <w:bottom w:w="80" w:type="dxa"/>
              <w:end w:w="90" w:type="dxa"/>
            </w:tcMar>
          </w:tcPr>
          <w:p>
            <w:pPr>
              <w:spacing w:after="30"/>
            </w:pPr>
            <w:r>
              <w:rPr>
                <w:sz w:val="16"/>
              </w:rPr>
              <w:t>Strong evidence and broad responsible agreement for the defined claim; revision remains possible.</w:t>
            </w:r>
          </w:p>
        </w:tc>
      </w:tr>
      <w:tr>
        <w:trPr>
          <w:cantSplit/>
        </w:trPr>
        <w:tc>
          <w:tcPr>
            <w:tcW w:type="dxa" w:w="2232"/>
            <w:vAlign w:val="top"/>
            <w:tcMar>
              <w:top w:w="80" w:type="dxa"/>
              <w:start w:w="90" w:type="dxa"/>
              <w:bottom w:w="80" w:type="dxa"/>
              <w:end w:w="90" w:type="dxa"/>
            </w:tcMar>
            <w:shd w:fill="F8FAFC"/>
          </w:tcPr>
          <w:p>
            <w:pPr>
              <w:spacing w:after="30"/>
            </w:pPr>
            <w:r>
              <w:rPr>
                <w:sz w:val="16"/>
              </w:rPr>
              <w:t>Well-Supported</w:t>
            </w:r>
          </w:p>
        </w:tc>
        <w:tc>
          <w:tcPr>
            <w:tcW w:type="dxa" w:w="7560"/>
            <w:vAlign w:val="top"/>
            <w:tcMar>
              <w:top w:w="80" w:type="dxa"/>
              <w:start w:w="90" w:type="dxa"/>
              <w:bottom w:w="80" w:type="dxa"/>
              <w:end w:w="90" w:type="dxa"/>
            </w:tcMar>
            <w:shd w:fill="F8FAFC"/>
          </w:tcPr>
          <w:p>
            <w:pPr>
              <w:spacing w:after="30"/>
            </w:pPr>
            <w:r>
              <w:rPr>
                <w:sz w:val="16"/>
              </w:rPr>
              <w:t>Substantial evidence favors the claim, but meaningful uncertainty or dispute remains.</w:t>
            </w:r>
          </w:p>
        </w:tc>
      </w:tr>
      <w:tr>
        <w:trPr>
          <w:cantSplit/>
        </w:trPr>
        <w:tc>
          <w:tcPr>
            <w:tcW w:type="dxa" w:w="2232"/>
            <w:vAlign w:val="top"/>
            <w:tcMar>
              <w:top w:w="80" w:type="dxa"/>
              <w:start w:w="90" w:type="dxa"/>
              <w:bottom w:w="80" w:type="dxa"/>
              <w:end w:w="90" w:type="dxa"/>
            </w:tcMar>
          </w:tcPr>
          <w:p>
            <w:pPr>
              <w:spacing w:after="30"/>
            </w:pPr>
            <w:r>
              <w:rPr>
                <w:sz w:val="16"/>
              </w:rPr>
              <w:t>Provisional</w:t>
            </w:r>
          </w:p>
        </w:tc>
        <w:tc>
          <w:tcPr>
            <w:tcW w:type="dxa" w:w="7560"/>
            <w:vAlign w:val="top"/>
            <w:tcMar>
              <w:top w:w="80" w:type="dxa"/>
              <w:start w:w="90" w:type="dxa"/>
              <w:bottom w:w="80" w:type="dxa"/>
              <w:end w:w="90" w:type="dxa"/>
            </w:tcMar>
          </w:tcPr>
          <w:p>
            <w:pPr>
              <w:spacing w:after="30"/>
            </w:pPr>
            <w:r>
              <w:rPr>
                <w:sz w:val="16"/>
              </w:rPr>
              <w:t>Plausible working conclusion useful for practice or further inquiry, explicitly subject to revision.</w:t>
            </w:r>
          </w:p>
        </w:tc>
      </w:tr>
      <w:tr>
        <w:trPr>
          <w:cantSplit/>
        </w:trPr>
        <w:tc>
          <w:tcPr>
            <w:tcW w:type="dxa" w:w="2232"/>
            <w:vAlign w:val="top"/>
            <w:tcMar>
              <w:top w:w="80" w:type="dxa"/>
              <w:start w:w="90" w:type="dxa"/>
              <w:bottom w:w="80" w:type="dxa"/>
              <w:end w:w="90" w:type="dxa"/>
            </w:tcMar>
            <w:shd w:fill="F8FAFC"/>
          </w:tcPr>
          <w:p>
            <w:pPr>
              <w:spacing w:after="30"/>
            </w:pPr>
            <w:r>
              <w:rPr>
                <w:sz w:val="16"/>
              </w:rPr>
              <w:t>Permitted Interpretation</w:t>
            </w:r>
          </w:p>
        </w:tc>
        <w:tc>
          <w:tcPr>
            <w:tcW w:type="dxa" w:w="7560"/>
            <w:vAlign w:val="top"/>
            <w:tcMar>
              <w:top w:w="80" w:type="dxa"/>
              <w:start w:w="90" w:type="dxa"/>
              <w:bottom w:w="80" w:type="dxa"/>
              <w:end w:w="90" w:type="dxa"/>
            </w:tcMar>
            <w:shd w:fill="F8FAFC"/>
          </w:tcPr>
          <w:p>
            <w:pPr>
              <w:spacing w:after="30"/>
            </w:pPr>
            <w:r>
              <w:rPr>
                <w:sz w:val="16"/>
              </w:rPr>
              <w:t>A coherent interpretation Companions may hold, but the Assembly does not teach it as the best-established conclusion.</w:t>
            </w:r>
          </w:p>
        </w:tc>
      </w:tr>
      <w:tr>
        <w:trPr>
          <w:cantSplit/>
        </w:trPr>
        <w:tc>
          <w:tcPr>
            <w:tcW w:type="dxa" w:w="2232"/>
            <w:vAlign w:val="top"/>
            <w:tcMar>
              <w:top w:w="80" w:type="dxa"/>
              <w:start w:w="90" w:type="dxa"/>
              <w:bottom w:w="80" w:type="dxa"/>
              <w:end w:w="90" w:type="dxa"/>
            </w:tcMar>
          </w:tcPr>
          <w:p>
            <w:pPr>
              <w:spacing w:after="30"/>
            </w:pPr>
            <w:r>
              <w:rPr>
                <w:sz w:val="16"/>
              </w:rPr>
              <w:t>Open Question</w:t>
            </w:r>
          </w:p>
        </w:tc>
        <w:tc>
          <w:tcPr>
            <w:tcW w:type="dxa" w:w="7560"/>
            <w:vAlign w:val="top"/>
            <w:tcMar>
              <w:top w:w="80" w:type="dxa"/>
              <w:start w:w="90" w:type="dxa"/>
              <w:bottom w:w="80" w:type="dxa"/>
              <w:end w:w="90" w:type="dxa"/>
            </w:tcMar>
          </w:tcPr>
          <w:p>
            <w:pPr>
              <w:spacing w:after="30"/>
            </w:pPr>
            <w:r>
              <w:rPr>
                <w:sz w:val="16"/>
              </w:rPr>
              <w:t>Available evidence does not justify an Assembly conclusion.</w:t>
            </w:r>
          </w:p>
        </w:tc>
      </w:tr>
      <w:tr>
        <w:trPr>
          <w:cantSplit/>
        </w:trPr>
        <w:tc>
          <w:tcPr>
            <w:tcW w:type="dxa" w:w="2232"/>
            <w:vAlign w:val="top"/>
            <w:tcMar>
              <w:top w:w="80" w:type="dxa"/>
              <w:start w:w="90" w:type="dxa"/>
              <w:bottom w:w="80" w:type="dxa"/>
              <w:end w:w="90" w:type="dxa"/>
            </w:tcMar>
            <w:shd w:fill="F8FAFC"/>
          </w:tcPr>
          <w:p>
            <w:pPr>
              <w:spacing w:after="30"/>
            </w:pPr>
            <w:r>
              <w:rPr>
                <w:sz w:val="16"/>
              </w:rPr>
              <w:t>Rejected as Harmful or Unsupported</w:t>
            </w:r>
          </w:p>
        </w:tc>
        <w:tc>
          <w:tcPr>
            <w:tcW w:type="dxa" w:w="7560"/>
            <w:vAlign w:val="top"/>
            <w:tcMar>
              <w:top w:w="80" w:type="dxa"/>
              <w:start w:w="90" w:type="dxa"/>
              <w:bottom w:w="80" w:type="dxa"/>
              <w:end w:w="90" w:type="dxa"/>
            </w:tcMar>
            <w:shd w:fill="F8FAFC"/>
          </w:tcPr>
          <w:p>
            <w:pPr>
              <w:spacing w:after="30"/>
            </w:pPr>
            <w:r>
              <w:rPr>
                <w:sz w:val="16"/>
              </w:rPr>
              <w:t>Either evidentially untenable for the defined claim, or institutionally impermissible because the proposed use violates rights/safeguards. The reason must be stated.</w:t>
            </w:r>
          </w:p>
        </w:tc>
      </w:tr>
    </w:tbl>
    <w:p>
      <w:pPr>
        <w:pStyle w:val="Heading1"/>
        <w:pageBreakBefore/>
      </w:pPr>
      <w:r>
        <w:t>TQ-001 - God / Ultimate Reality</w:t>
      </w:r>
    </w:p>
    <w:tbl>
      <w:tblPr>
        <w:tblStyle w:val="TableGrid"/>
        <w:tblW w:type="auto" w:w="0"/>
        <w:tblLook w:firstColumn="1" w:firstRow="1" w:lastColumn="0" w:lastRow="0" w:noHBand="0" w:noVBand="1" w:val="04A0"/>
      </w:tblPr>
      <w:tblGrid>
        <w:gridCol w:w="9994"/>
      </w:tblGrid>
      <w:tr>
        <w:trPr>
          <w:tblHeader w:val="true"/>
        </w:trPr>
        <w:tc>
          <w:tcPr>
            <w:tcW w:type="dxa" w:w="9994"/>
            <w:shd w:fill="F8FAFC"/>
            <w:tcMar>
              <w:top w:w="130" w:type="dxa"/>
              <w:start w:w="160" w:type="dxa"/>
              <w:bottom w:w="130" w:type="dxa"/>
              <w:end w:w="160" w:type="dxa"/>
            </w:tcMar>
          </w:tcPr>
          <w:p>
            <w:r>
              <w:rPr>
                <w:b/>
                <w:color w:val="334155"/>
              </w:rPr>
              <w:t>Research question</w:t>
              <w:br/>
            </w:r>
            <w:r>
              <w:t>What, if anything, is ultimately real in the religious sense, and what may responsibly be said about God or the Divine?</w:t>
            </w:r>
          </w:p>
        </w:tc>
      </w:tr>
    </w:tbl>
    <w:p>
      <w:r>
        <w:t>The evidence supports neither a premature equation of all religious ultimates nor a premature dismissal of them. Jewish and Islamic witnesses emphatically affirm divine unity; Sikh tradition likewise centers one God; Upanishadic traditions develop models of Brahman and self; Buddhist traditions are not organized around a creator God and instead analyze suffering, impermanence, non-self, dependent arising, and liberation. Philosophy of religion itself now treats 'God and other ultimates' as a plural conceptual landscape rather than one uniform idea.</w:t>
      </w:r>
    </w:p>
    <w:p>
      <w:pPr>
        <w:pStyle w:val="Heading2"/>
      </w:pPr>
      <w:r>
        <w:t>Witness map</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shd w:fill="334155"/>
            <w:vAlign w:val="center"/>
            <w:tcMar>
              <w:top w:w="80" w:type="dxa"/>
              <w:start w:w="90" w:type="dxa"/>
              <w:bottom w:w="80" w:type="dxa"/>
              <w:end w:w="90" w:type="dxa"/>
            </w:tcMar>
          </w:tcPr>
          <w:p>
            <w:r>
              <w:rPr>
                <w:b/>
                <w:color w:val="FFFFFF"/>
                <w:sz w:val="15"/>
              </w:rPr>
              <w:t>Witness</w:t>
            </w:r>
          </w:p>
        </w:tc>
        <w:tc>
          <w:tcPr>
            <w:tcW w:type="dxa" w:w="2880"/>
            <w:shd w:fill="334155"/>
            <w:vAlign w:val="center"/>
            <w:tcMar>
              <w:top w:w="80" w:type="dxa"/>
              <w:start w:w="90" w:type="dxa"/>
              <w:bottom w:w="80" w:type="dxa"/>
              <w:end w:w="90" w:type="dxa"/>
            </w:tcMar>
          </w:tcPr>
          <w:p>
            <w:r>
              <w:rPr>
                <w:b/>
                <w:color w:val="FFFFFF"/>
                <w:sz w:val="15"/>
              </w:rPr>
              <w:t>Source / corpus</w:t>
            </w:r>
          </w:p>
        </w:tc>
        <w:tc>
          <w:tcPr>
            <w:tcW w:type="dxa" w:w="4824"/>
            <w:shd w:fill="334155"/>
            <w:vAlign w:val="center"/>
            <w:tcMar>
              <w:top w:w="80" w:type="dxa"/>
              <w:start w:w="90" w:type="dxa"/>
              <w:bottom w:w="80" w:type="dxa"/>
              <w:end w:w="90" w:type="dxa"/>
            </w:tcMar>
          </w:tcPr>
          <w:p>
            <w:r>
              <w:rPr>
                <w:b/>
                <w:color w:val="FFFFFF"/>
                <w:sz w:val="15"/>
              </w:rPr>
              <w:t>Research use</w:t>
            </w:r>
          </w:p>
        </w:tc>
      </w:tr>
      <w:tr>
        <w:trPr>
          <w:cantSplit/>
        </w:trPr>
        <w:tc>
          <w:tcPr>
            <w:tcW w:type="dxa" w:w="2088"/>
            <w:vAlign w:val="top"/>
            <w:tcMar>
              <w:top w:w="80" w:type="dxa"/>
              <w:start w:w="90" w:type="dxa"/>
              <w:bottom w:w="80" w:type="dxa"/>
              <w:end w:w="90" w:type="dxa"/>
            </w:tcMar>
          </w:tcPr>
          <w:p>
            <w:pPr>
              <w:spacing w:after="30"/>
            </w:pPr>
            <w:r>
              <w:rPr>
                <w:sz w:val="15"/>
              </w:rPr>
              <w:t>Jewish biblical witness</w:t>
            </w:r>
          </w:p>
        </w:tc>
        <w:tc>
          <w:tcPr>
            <w:tcW w:type="dxa" w:w="2880"/>
            <w:vAlign w:val="top"/>
            <w:tcMar>
              <w:top w:w="80" w:type="dxa"/>
              <w:start w:w="90" w:type="dxa"/>
              <w:bottom w:w="80" w:type="dxa"/>
              <w:end w:w="90" w:type="dxa"/>
            </w:tcMar>
          </w:tcPr>
          <w:p>
            <w:pPr>
              <w:spacing w:after="30"/>
            </w:pPr>
            <w:r>
              <w:rPr>
                <w:sz w:val="15"/>
              </w:rPr>
              <w:t>Deuteronomy 6:4-5; Exodus 3:14-15</w:t>
            </w:r>
          </w:p>
        </w:tc>
        <w:tc>
          <w:tcPr>
            <w:tcW w:type="dxa" w:w="4824"/>
            <w:vAlign w:val="top"/>
            <w:tcMar>
              <w:top w:w="80" w:type="dxa"/>
              <w:start w:w="90" w:type="dxa"/>
              <w:bottom w:w="80" w:type="dxa"/>
              <w:end w:w="90" w:type="dxa"/>
            </w:tcMar>
          </w:tcPr>
          <w:p>
            <w:pPr>
              <w:spacing w:after="30"/>
            </w:pPr>
            <w:r>
              <w:rPr>
                <w:sz w:val="15"/>
              </w:rPr>
              <w:t>Unity/uniqueness of YHWH; covenantal love; divine naming remains interpretively rich.</w:t>
            </w:r>
          </w:p>
        </w:tc>
      </w:tr>
      <w:tr>
        <w:trPr>
          <w:cantSplit/>
        </w:trPr>
        <w:tc>
          <w:tcPr>
            <w:tcW w:type="dxa" w:w="2088"/>
            <w:vAlign w:val="top"/>
            <w:tcMar>
              <w:top w:w="80" w:type="dxa"/>
              <w:start w:w="90" w:type="dxa"/>
              <w:bottom w:w="80" w:type="dxa"/>
              <w:end w:w="90" w:type="dxa"/>
            </w:tcMar>
            <w:shd w:fill="F8FAFC"/>
          </w:tcPr>
          <w:p>
            <w:pPr>
              <w:spacing w:after="30"/>
            </w:pPr>
            <w:r>
              <w:rPr>
                <w:sz w:val="15"/>
              </w:rPr>
              <w:t>Qur'anic witness</w:t>
            </w:r>
          </w:p>
        </w:tc>
        <w:tc>
          <w:tcPr>
            <w:tcW w:type="dxa" w:w="2880"/>
            <w:vAlign w:val="top"/>
            <w:tcMar>
              <w:top w:w="80" w:type="dxa"/>
              <w:start w:w="90" w:type="dxa"/>
              <w:bottom w:w="80" w:type="dxa"/>
              <w:end w:w="90" w:type="dxa"/>
            </w:tcMar>
            <w:shd w:fill="F8FAFC"/>
          </w:tcPr>
          <w:p>
            <w:pPr>
              <w:spacing w:after="30"/>
            </w:pPr>
            <w:r>
              <w:rPr>
                <w:sz w:val="15"/>
              </w:rPr>
              <w:t>Qur'an 112; 4:171</w:t>
            </w:r>
          </w:p>
        </w:tc>
        <w:tc>
          <w:tcPr>
            <w:tcW w:type="dxa" w:w="4824"/>
            <w:vAlign w:val="top"/>
            <w:tcMar>
              <w:top w:w="80" w:type="dxa"/>
              <w:start w:w="90" w:type="dxa"/>
              <w:bottom w:w="80" w:type="dxa"/>
              <w:end w:w="90" w:type="dxa"/>
            </w:tcMar>
            <w:shd w:fill="F8FAFC"/>
          </w:tcPr>
          <w:p>
            <w:pPr>
              <w:spacing w:after="30"/>
            </w:pPr>
            <w:r>
              <w:rPr>
                <w:sz w:val="15"/>
              </w:rPr>
              <w:t>God is one, incomparable, not begotten or begetting; Jesus is not a second deity within Qur'anic theology.</w:t>
            </w:r>
          </w:p>
        </w:tc>
      </w:tr>
      <w:tr>
        <w:trPr>
          <w:cantSplit/>
        </w:trPr>
        <w:tc>
          <w:tcPr>
            <w:tcW w:type="dxa" w:w="2088"/>
            <w:vAlign w:val="top"/>
            <w:tcMar>
              <w:top w:w="80" w:type="dxa"/>
              <w:start w:w="90" w:type="dxa"/>
              <w:bottom w:w="80" w:type="dxa"/>
              <w:end w:w="90" w:type="dxa"/>
            </w:tcMar>
          </w:tcPr>
          <w:p>
            <w:pPr>
              <w:spacing w:after="30"/>
            </w:pPr>
            <w:r>
              <w:rPr>
                <w:sz w:val="15"/>
              </w:rPr>
              <w:t>Sikh witness</w:t>
            </w:r>
          </w:p>
        </w:tc>
        <w:tc>
          <w:tcPr>
            <w:tcW w:type="dxa" w:w="2880"/>
            <w:vAlign w:val="top"/>
            <w:tcMar>
              <w:top w:w="80" w:type="dxa"/>
              <w:start w:w="90" w:type="dxa"/>
              <w:bottom w:w="80" w:type="dxa"/>
              <w:end w:w="90" w:type="dxa"/>
            </w:tcMar>
          </w:tcPr>
          <w:p>
            <w:pPr>
              <w:spacing w:after="30"/>
            </w:pPr>
            <w:r>
              <w:rPr>
                <w:sz w:val="15"/>
              </w:rPr>
              <w:t>Mool Mantar and Sikh teaching tradition</w:t>
            </w:r>
          </w:p>
        </w:tc>
        <w:tc>
          <w:tcPr>
            <w:tcW w:type="dxa" w:w="4824"/>
            <w:vAlign w:val="top"/>
            <w:tcMar>
              <w:top w:w="80" w:type="dxa"/>
              <w:start w:w="90" w:type="dxa"/>
              <w:bottom w:w="80" w:type="dxa"/>
              <w:end w:w="90" w:type="dxa"/>
            </w:tcMar>
          </w:tcPr>
          <w:p>
            <w:pPr>
              <w:spacing w:after="30"/>
            </w:pPr>
            <w:r>
              <w:rPr>
                <w:sz w:val="15"/>
              </w:rPr>
              <w:t>One, creator, timeless, self-existent divine reality; ego is an obstacle to truthful living.</w:t>
            </w:r>
          </w:p>
        </w:tc>
      </w:tr>
      <w:tr>
        <w:trPr>
          <w:cantSplit/>
        </w:trPr>
        <w:tc>
          <w:tcPr>
            <w:tcW w:type="dxa" w:w="2088"/>
            <w:vAlign w:val="top"/>
            <w:tcMar>
              <w:top w:w="80" w:type="dxa"/>
              <w:start w:w="90" w:type="dxa"/>
              <w:bottom w:w="80" w:type="dxa"/>
              <w:end w:w="90" w:type="dxa"/>
            </w:tcMar>
            <w:shd w:fill="F8FAFC"/>
          </w:tcPr>
          <w:p>
            <w:pPr>
              <w:spacing w:after="30"/>
            </w:pPr>
            <w:r>
              <w:rPr>
                <w:sz w:val="15"/>
              </w:rPr>
              <w:t>Upanishadic witness</w:t>
            </w:r>
          </w:p>
        </w:tc>
        <w:tc>
          <w:tcPr>
            <w:tcW w:type="dxa" w:w="2880"/>
            <w:vAlign w:val="top"/>
            <w:tcMar>
              <w:top w:w="80" w:type="dxa"/>
              <w:start w:w="90" w:type="dxa"/>
              <w:bottom w:w="80" w:type="dxa"/>
              <w:end w:w="90" w:type="dxa"/>
            </w:tcMar>
            <w:shd w:fill="F8FAFC"/>
          </w:tcPr>
          <w:p>
            <w:pPr>
              <w:spacing w:after="30"/>
            </w:pPr>
            <w:r>
              <w:rPr>
                <w:sz w:val="15"/>
              </w:rPr>
              <w:t>Principal Upanishadic traditions</w:t>
            </w:r>
          </w:p>
        </w:tc>
        <w:tc>
          <w:tcPr>
            <w:tcW w:type="dxa" w:w="4824"/>
            <w:vAlign w:val="top"/>
            <w:tcMar>
              <w:top w:w="80" w:type="dxa"/>
              <w:start w:w="90" w:type="dxa"/>
              <w:bottom w:w="80" w:type="dxa"/>
              <w:end w:w="90" w:type="dxa"/>
            </w:tcMar>
            <w:shd w:fill="F8FAFC"/>
          </w:tcPr>
          <w:p>
            <w:pPr>
              <w:spacing w:after="30"/>
            </w:pPr>
            <w:r>
              <w:rPr>
                <w:sz w:val="15"/>
              </w:rPr>
              <w:t>Multiple formulations of Brahman, Atman, nonduality, and ultimate reality; not reducible to one simple doctrine.</w:t>
            </w:r>
          </w:p>
        </w:tc>
      </w:tr>
      <w:tr>
        <w:trPr>
          <w:cantSplit/>
        </w:trPr>
        <w:tc>
          <w:tcPr>
            <w:tcW w:type="dxa" w:w="2088"/>
            <w:vAlign w:val="top"/>
            <w:tcMar>
              <w:top w:w="80" w:type="dxa"/>
              <w:start w:w="90" w:type="dxa"/>
              <w:bottom w:w="80" w:type="dxa"/>
              <w:end w:w="90" w:type="dxa"/>
            </w:tcMar>
          </w:tcPr>
          <w:p>
            <w:pPr>
              <w:spacing w:after="30"/>
            </w:pPr>
            <w:r>
              <w:rPr>
                <w:sz w:val="15"/>
              </w:rPr>
              <w:t>Buddhist witness</w:t>
            </w:r>
          </w:p>
        </w:tc>
        <w:tc>
          <w:tcPr>
            <w:tcW w:type="dxa" w:w="2880"/>
            <w:vAlign w:val="top"/>
            <w:tcMar>
              <w:top w:w="80" w:type="dxa"/>
              <w:start w:w="90" w:type="dxa"/>
              <w:bottom w:w="80" w:type="dxa"/>
              <w:end w:w="90" w:type="dxa"/>
            </w:tcMar>
          </w:tcPr>
          <w:p>
            <w:pPr>
              <w:spacing w:after="30"/>
            </w:pPr>
            <w:r>
              <w:rPr>
                <w:sz w:val="15"/>
              </w:rPr>
              <w:t>Early Buddhist discourses</w:t>
            </w:r>
          </w:p>
        </w:tc>
        <w:tc>
          <w:tcPr>
            <w:tcW w:type="dxa" w:w="4824"/>
            <w:vAlign w:val="top"/>
            <w:tcMar>
              <w:top w:w="80" w:type="dxa"/>
              <w:start w:w="90" w:type="dxa"/>
              <w:bottom w:w="80" w:type="dxa"/>
              <w:end w:w="90" w:type="dxa"/>
            </w:tcMar>
          </w:tcPr>
          <w:p>
            <w:pPr>
              <w:spacing w:after="30"/>
            </w:pPr>
            <w:r>
              <w:rPr>
                <w:sz w:val="15"/>
              </w:rPr>
              <w:t>Liberation is framed without dependence on a creator-God doctrine; later Buddhist schools develop additional concepts such as emptiness and Buddha-nature.</w:t>
            </w:r>
          </w:p>
        </w:tc>
      </w:tr>
      <w:tr>
        <w:trPr>
          <w:cantSplit/>
        </w:trPr>
        <w:tc>
          <w:tcPr>
            <w:tcW w:type="dxa" w:w="2088"/>
            <w:vAlign w:val="top"/>
            <w:tcMar>
              <w:top w:w="80" w:type="dxa"/>
              <w:start w:w="90" w:type="dxa"/>
              <w:bottom w:w="80" w:type="dxa"/>
              <w:end w:w="90" w:type="dxa"/>
            </w:tcMar>
            <w:shd w:fill="F8FAFC"/>
          </w:tcPr>
          <w:p>
            <w:pPr>
              <w:spacing w:after="30"/>
            </w:pPr>
            <w:r>
              <w:rPr>
                <w:sz w:val="15"/>
              </w:rPr>
              <w:t>Philosophical witness</w:t>
            </w:r>
          </w:p>
        </w:tc>
        <w:tc>
          <w:tcPr>
            <w:tcW w:type="dxa" w:w="2880"/>
            <w:vAlign w:val="top"/>
            <w:tcMar>
              <w:top w:w="80" w:type="dxa"/>
              <w:start w:w="90" w:type="dxa"/>
              <w:bottom w:w="80" w:type="dxa"/>
              <w:end w:w="90" w:type="dxa"/>
            </w:tcMar>
            <w:shd w:fill="F8FAFC"/>
          </w:tcPr>
          <w:p>
            <w:pPr>
              <w:spacing w:after="30"/>
            </w:pPr>
            <w:r>
              <w:rPr>
                <w:sz w:val="15"/>
              </w:rPr>
              <w:t>Contemporary philosophy of religion</w:t>
            </w:r>
          </w:p>
        </w:tc>
        <w:tc>
          <w:tcPr>
            <w:tcW w:type="dxa" w:w="4824"/>
            <w:vAlign w:val="top"/>
            <w:tcMar>
              <w:top w:w="80" w:type="dxa"/>
              <w:start w:w="90" w:type="dxa"/>
              <w:bottom w:w="80" w:type="dxa"/>
              <w:end w:w="90" w:type="dxa"/>
            </w:tcMar>
            <w:shd w:fill="F8FAFC"/>
          </w:tcPr>
          <w:p>
            <w:pPr>
              <w:spacing w:after="30"/>
            </w:pPr>
            <w:r>
              <w:rPr>
                <w:sz w:val="15"/>
              </w:rPr>
              <w:t>Distinguishes personal-God models, ground-of-being models, nondual ultimates, and non-theistic ultimates; also evaluates naturalism and skepticism.</w:t>
            </w:r>
          </w:p>
        </w:tc>
      </w:tr>
    </w:tbl>
    <w:p>
      <w:pPr>
        <w:pStyle w:val="Heading2"/>
      </w:pPr>
      <w:r>
        <w:t>Findings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4968"/>
            <w:shd w:fill="334155"/>
            <w:vAlign w:val="center"/>
            <w:tcMar>
              <w:top w:w="80" w:type="dxa"/>
              <w:start w:w="90" w:type="dxa"/>
              <w:bottom w:w="80" w:type="dxa"/>
              <w:end w:w="90" w:type="dxa"/>
            </w:tcMar>
          </w:tcPr>
          <w:p>
            <w:r>
              <w:rPr>
                <w:b/>
                <w:color w:val="FFFFFF"/>
                <w:sz w:val="15"/>
              </w:rPr>
              <w:t>Claim</w:t>
            </w:r>
          </w:p>
        </w:tc>
        <w:tc>
          <w:tcPr>
            <w:tcW w:type="dxa" w:w="1728"/>
            <w:shd w:fill="334155"/>
            <w:vAlign w:val="center"/>
            <w:tcMar>
              <w:top w:w="80" w:type="dxa"/>
              <w:start w:w="90" w:type="dxa"/>
              <w:bottom w:w="80" w:type="dxa"/>
              <w:end w:w="90" w:type="dxa"/>
            </w:tcMar>
          </w:tcPr>
          <w:p>
            <w:r>
              <w:rPr>
                <w:b/>
                <w:color w:val="FFFFFF"/>
                <w:sz w:val="15"/>
              </w:rPr>
              <w:t>Confidence</w:t>
            </w:r>
          </w:p>
        </w:tc>
        <w:tc>
          <w:tcPr>
            <w:tcW w:type="dxa" w:w="3096"/>
            <w:shd w:fill="334155"/>
            <w:vAlign w:val="center"/>
            <w:tcMar>
              <w:top w:w="80" w:type="dxa"/>
              <w:start w:w="90" w:type="dxa"/>
              <w:bottom w:w="80" w:type="dxa"/>
              <w:end w:w="90" w:type="dxa"/>
            </w:tcMar>
          </w:tcPr>
          <w:p>
            <w:r>
              <w:rPr>
                <w:b/>
                <w:color w:val="FFFFFF"/>
                <w:sz w:val="15"/>
              </w:rPr>
              <w:t>Research note</w:t>
            </w:r>
          </w:p>
        </w:tc>
      </w:tr>
      <w:tr>
        <w:trPr>
          <w:cantSplit/>
        </w:trPr>
        <w:tc>
          <w:tcPr>
            <w:tcW w:type="dxa" w:w="4968"/>
            <w:vAlign w:val="top"/>
            <w:tcMar>
              <w:top w:w="80" w:type="dxa"/>
              <w:start w:w="90" w:type="dxa"/>
              <w:bottom w:w="80" w:type="dxa"/>
              <w:end w:w="90" w:type="dxa"/>
            </w:tcMar>
          </w:tcPr>
          <w:p>
            <w:pPr>
              <w:spacing w:after="30"/>
            </w:pPr>
            <w:r>
              <w:rPr>
                <w:sz w:val="15"/>
              </w:rPr>
              <w:t>Religious traditions make materially different ultimate-reality claims.</w:t>
            </w:r>
          </w:p>
        </w:tc>
        <w:tc>
          <w:tcPr>
            <w:tcW w:type="dxa" w:w="1728"/>
            <w:vAlign w:val="top"/>
            <w:tcMar>
              <w:top w:w="80" w:type="dxa"/>
              <w:start w:w="90" w:type="dxa"/>
              <w:bottom w:w="80" w:type="dxa"/>
              <w:end w:w="90" w:type="dxa"/>
            </w:tcMar>
          </w:tcPr>
          <w:p>
            <w:pPr>
              <w:spacing w:after="30"/>
            </w:pPr>
            <w:r>
              <w:rPr>
                <w:sz w:val="15"/>
              </w:rPr>
              <w:t>Established</w:t>
            </w:r>
          </w:p>
        </w:tc>
        <w:tc>
          <w:tcPr>
            <w:tcW w:type="dxa" w:w="3096"/>
            <w:vAlign w:val="top"/>
            <w:tcMar>
              <w:top w:w="80" w:type="dxa"/>
              <w:start w:w="90" w:type="dxa"/>
              <w:bottom w:w="80" w:type="dxa"/>
              <w:end w:w="90" w:type="dxa"/>
            </w:tcMar>
          </w:tcPr>
          <w:p>
            <w:pPr>
              <w:spacing w:after="30"/>
            </w:pPr>
            <w:r>
              <w:rPr>
                <w:sz w:val="15"/>
              </w:rPr>
              <w:t>This diversity must not be erased by saying all traditions teach the same thing.</w:t>
            </w:r>
          </w:p>
        </w:tc>
      </w:tr>
      <w:tr>
        <w:trPr>
          <w:cantSplit/>
        </w:trPr>
        <w:tc>
          <w:tcPr>
            <w:tcW w:type="dxa" w:w="4968"/>
            <w:vAlign w:val="top"/>
            <w:tcMar>
              <w:top w:w="80" w:type="dxa"/>
              <w:start w:w="90" w:type="dxa"/>
              <w:bottom w:w="80" w:type="dxa"/>
              <w:end w:w="90" w:type="dxa"/>
            </w:tcMar>
            <w:shd w:fill="F8FAFC"/>
          </w:tcPr>
          <w:p>
            <w:pPr>
              <w:spacing w:after="30"/>
            </w:pPr>
            <w:r>
              <w:rPr>
                <w:sz w:val="15"/>
              </w:rPr>
              <w:t>Monotheistic unity is central to Jewish, Islamic, and Sikh witnesses, though their further descriptions differ.</w:t>
            </w:r>
          </w:p>
        </w:tc>
        <w:tc>
          <w:tcPr>
            <w:tcW w:type="dxa" w:w="1728"/>
            <w:vAlign w:val="top"/>
            <w:tcMar>
              <w:top w:w="80" w:type="dxa"/>
              <w:start w:w="90" w:type="dxa"/>
              <w:bottom w:w="80" w:type="dxa"/>
              <w:end w:w="90" w:type="dxa"/>
            </w:tcMar>
            <w:shd w:fill="F8FAFC"/>
          </w:tcPr>
          <w:p>
            <w:pPr>
              <w:spacing w:after="30"/>
            </w:pPr>
            <w:r>
              <w:rPr>
                <w:sz w:val="15"/>
              </w:rPr>
              <w:t>Established</w:t>
            </w:r>
          </w:p>
        </w:tc>
        <w:tc>
          <w:tcPr>
            <w:tcW w:type="dxa" w:w="3096"/>
            <w:vAlign w:val="top"/>
            <w:tcMar>
              <w:top w:w="80" w:type="dxa"/>
              <w:start w:w="90" w:type="dxa"/>
              <w:bottom w:w="80" w:type="dxa"/>
              <w:end w:w="90" w:type="dxa"/>
            </w:tcMar>
            <w:shd w:fill="F8FAFC"/>
          </w:tcPr>
          <w:p>
            <w:pPr>
              <w:spacing w:after="30"/>
            </w:pPr>
            <w:r>
              <w:rPr>
                <w:sz w:val="15"/>
              </w:rPr>
              <w:t>Descriptive claim about source traditions, not an Assembly metaphysical verdict.</w:t>
            </w:r>
          </w:p>
        </w:tc>
      </w:tr>
      <w:tr>
        <w:trPr>
          <w:cantSplit/>
        </w:trPr>
        <w:tc>
          <w:tcPr>
            <w:tcW w:type="dxa" w:w="4968"/>
            <w:vAlign w:val="top"/>
            <w:tcMar>
              <w:top w:w="80" w:type="dxa"/>
              <w:start w:w="90" w:type="dxa"/>
              <w:bottom w:w="80" w:type="dxa"/>
              <w:end w:w="90" w:type="dxa"/>
            </w:tcMar>
          </w:tcPr>
          <w:p>
            <w:pPr>
              <w:spacing w:after="30"/>
            </w:pPr>
            <w:r>
              <w:rPr>
                <w:sz w:val="15"/>
              </w:rPr>
              <w:t>Religious experience and testimony deserve study but do not uniquely determine one metaphysical interpretation.</w:t>
            </w:r>
          </w:p>
        </w:tc>
        <w:tc>
          <w:tcPr>
            <w:tcW w:type="dxa" w:w="1728"/>
            <w:vAlign w:val="top"/>
            <w:tcMar>
              <w:top w:w="80" w:type="dxa"/>
              <w:start w:w="90" w:type="dxa"/>
              <w:bottom w:w="80" w:type="dxa"/>
              <w:end w:w="90" w:type="dxa"/>
            </w:tcMar>
          </w:tcPr>
          <w:p>
            <w:pPr>
              <w:spacing w:after="30"/>
            </w:pPr>
            <w:r>
              <w:rPr>
                <w:sz w:val="15"/>
              </w:rPr>
              <w:t>Well-Supported</w:t>
            </w:r>
          </w:p>
        </w:tc>
        <w:tc>
          <w:tcPr>
            <w:tcW w:type="dxa" w:w="3096"/>
            <w:vAlign w:val="top"/>
            <w:tcMar>
              <w:top w:w="80" w:type="dxa"/>
              <w:start w:w="90" w:type="dxa"/>
              <w:bottom w:w="80" w:type="dxa"/>
              <w:end w:w="90" w:type="dxa"/>
            </w:tcMar>
          </w:tcPr>
          <w:p>
            <w:pPr>
              <w:spacing w:after="30"/>
            </w:pPr>
            <w:r>
              <w:rPr>
                <w:sz w:val="15"/>
              </w:rPr>
              <w:t>The same kind of human experience can be interpreted differently across traditions.</w:t>
            </w:r>
          </w:p>
        </w:tc>
      </w:tr>
      <w:tr>
        <w:trPr>
          <w:cantSplit/>
        </w:trPr>
        <w:tc>
          <w:tcPr>
            <w:tcW w:type="dxa" w:w="4968"/>
            <w:vAlign w:val="top"/>
            <w:tcMar>
              <w:top w:w="80" w:type="dxa"/>
              <w:start w:w="90" w:type="dxa"/>
              <w:bottom w:w="80" w:type="dxa"/>
              <w:end w:w="90" w:type="dxa"/>
            </w:tcMar>
            <w:shd w:fill="F8FAFC"/>
          </w:tcPr>
          <w:p>
            <w:pPr>
              <w:spacing w:after="30"/>
            </w:pPr>
            <w:r>
              <w:rPr>
                <w:sz w:val="15"/>
              </w:rPr>
              <w:t>Whether ultimate reality is personal, transpersonal, nondual, plural, or adequately described by naturalism remains unsettled for the Way.</w:t>
            </w:r>
          </w:p>
        </w:tc>
        <w:tc>
          <w:tcPr>
            <w:tcW w:type="dxa" w:w="1728"/>
            <w:vAlign w:val="top"/>
            <w:tcMar>
              <w:top w:w="80" w:type="dxa"/>
              <w:start w:w="90" w:type="dxa"/>
              <w:bottom w:w="80" w:type="dxa"/>
              <w:end w:w="90" w:type="dxa"/>
            </w:tcMar>
            <w:shd w:fill="F8FAFC"/>
          </w:tcPr>
          <w:p>
            <w:pPr>
              <w:spacing w:after="30"/>
            </w:pPr>
            <w:r>
              <w:rPr>
                <w:sz w:val="15"/>
              </w:rPr>
              <w:t>Open Question</w:t>
            </w:r>
          </w:p>
        </w:tc>
        <w:tc>
          <w:tcPr>
            <w:tcW w:type="dxa" w:w="3096"/>
            <w:vAlign w:val="top"/>
            <w:tcMar>
              <w:top w:w="80" w:type="dxa"/>
              <w:start w:w="90" w:type="dxa"/>
              <w:bottom w:w="80" w:type="dxa"/>
              <w:end w:w="90" w:type="dxa"/>
            </w:tcMar>
            <w:shd w:fill="F8FAFC"/>
          </w:tcPr>
          <w:p>
            <w:pPr>
              <w:spacing w:after="30"/>
            </w:pPr>
            <w:r>
              <w:rPr>
                <w:sz w:val="15"/>
              </w:rPr>
              <w:t>No evidentiary shortcut is justified.</w:t>
            </w:r>
          </w:p>
        </w:tc>
      </w:tr>
      <w:tr>
        <w:trPr>
          <w:cantSplit/>
        </w:trPr>
        <w:tc>
          <w:tcPr>
            <w:tcW w:type="dxa" w:w="4968"/>
            <w:vAlign w:val="top"/>
            <w:tcMar>
              <w:top w:w="80" w:type="dxa"/>
              <w:start w:w="90" w:type="dxa"/>
              <w:bottom w:w="80" w:type="dxa"/>
              <w:end w:w="90" w:type="dxa"/>
            </w:tcMar>
          </w:tcPr>
          <w:p>
            <w:pPr>
              <w:spacing w:after="30"/>
            </w:pPr>
            <w:r>
              <w:rPr>
                <w:sz w:val="15"/>
              </w:rPr>
              <w:t>The problem of suffering and evil is a major test for any model of an all-powerful, all-knowing, perfectly good personal God.</w:t>
            </w:r>
          </w:p>
        </w:tc>
        <w:tc>
          <w:tcPr>
            <w:tcW w:type="dxa" w:w="1728"/>
            <w:vAlign w:val="top"/>
            <w:tcMar>
              <w:top w:w="80" w:type="dxa"/>
              <w:start w:w="90" w:type="dxa"/>
              <w:bottom w:w="80" w:type="dxa"/>
              <w:end w:w="90" w:type="dxa"/>
            </w:tcMar>
          </w:tcPr>
          <w:p>
            <w:pPr>
              <w:spacing w:after="30"/>
            </w:pPr>
            <w:r>
              <w:rPr>
                <w:sz w:val="15"/>
              </w:rPr>
              <w:t>Established</w:t>
            </w:r>
          </w:p>
        </w:tc>
        <w:tc>
          <w:tcPr>
            <w:tcW w:type="dxa" w:w="3096"/>
            <w:vAlign w:val="top"/>
            <w:tcMar>
              <w:top w:w="80" w:type="dxa"/>
              <w:start w:w="90" w:type="dxa"/>
              <w:bottom w:w="80" w:type="dxa"/>
              <w:end w:w="90" w:type="dxa"/>
            </w:tcMar>
          </w:tcPr>
          <w:p>
            <w:pPr>
              <w:spacing w:after="30"/>
            </w:pPr>
            <w:r>
              <w:rPr>
                <w:sz w:val="15"/>
              </w:rPr>
              <w:t>The force of the problem varies with the model of God being evaluated.</w:t>
            </w:r>
          </w:p>
        </w:tc>
      </w:tr>
    </w:tbl>
    <w:p>
      <w:pPr>
        <w:pStyle w:val="Heading2"/>
      </w:pPr>
      <w:r>
        <w:t>Major interpretations still in view</w:t>
      </w:r>
    </w:p>
    <w:p>
      <w:r>
        <w:rPr>
          <w:b/>
        </w:rPr>
        <w:t xml:space="preserve">Classical monotheism: </w:t>
      </w:r>
      <w:r>
        <w:t>One personal creator God, maximally powerful/knowing/good; Jewish, Christian, Islamic and Sikh formulations vary.</w:t>
      </w:r>
    </w:p>
    <w:p>
      <w:r>
        <w:rPr>
          <w:b/>
        </w:rPr>
        <w:t xml:space="preserve">Ground-of-being / panentheistic models: </w:t>
      </w:r>
      <w:r>
        <w:t>God as being itself, the ground within which creation exists, or reality transcending ordinary person-language.</w:t>
      </w:r>
    </w:p>
    <w:p>
      <w:r>
        <w:rPr>
          <w:b/>
        </w:rPr>
        <w:t xml:space="preserve">Nondual models: </w:t>
      </w:r>
      <w:r>
        <w:t>Ultimate reality and deepest self/reality understood through forms of nonduality; important in several Hindu philosophical traditions.</w:t>
      </w:r>
    </w:p>
    <w:p>
      <w:r>
        <w:rPr>
          <w:b/>
        </w:rPr>
        <w:t xml:space="preserve">Non-theistic liberation models: </w:t>
      </w:r>
      <w:r>
        <w:t>Religious ultimacy need not be a creator person; many Buddhist systems exemplify this.</w:t>
      </w:r>
    </w:p>
    <w:p>
      <w:r>
        <w:rPr>
          <w:b/>
        </w:rPr>
        <w:t xml:space="preserve">Naturalism / agnosticism: </w:t>
      </w:r>
      <w:r>
        <w:t>No transcendent personal or metaphysical ultimate beyond nature, or insufficient evidence to decide.</w:t>
      </w:r>
    </w:p>
    <w:p>
      <w:pPr>
        <w:pStyle w:val="Heading2"/>
      </w:pPr>
      <w:r>
        <w:t>Current Way posture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800"/>
            <w:shd w:fill="334155"/>
            <w:vAlign w:val="center"/>
            <w:tcMar>
              <w:top w:w="80" w:type="dxa"/>
              <w:start w:w="90" w:type="dxa"/>
              <w:bottom w:w="80" w:type="dxa"/>
              <w:end w:w="90" w:type="dxa"/>
            </w:tcMar>
          </w:tcPr>
          <w:p>
            <w:r>
              <w:rPr>
                <w:b/>
                <w:color w:val="FFFFFF"/>
                <w:sz w:val="16"/>
              </w:rPr>
              <w:t>Status</w:t>
            </w:r>
          </w:p>
        </w:tc>
        <w:tc>
          <w:tcPr>
            <w:tcW w:type="dxa" w:w="7992"/>
            <w:shd w:fill="334155"/>
            <w:vAlign w:val="center"/>
            <w:tcMar>
              <w:top w:w="80" w:type="dxa"/>
              <w:start w:w="90" w:type="dxa"/>
              <w:bottom w:w="80" w:type="dxa"/>
              <w:end w:w="90" w:type="dxa"/>
            </w:tcMar>
          </w:tcPr>
          <w:p>
            <w:r>
              <w:rPr>
                <w:b/>
                <w:color w:val="FFFFFF"/>
                <w:sz w:val="16"/>
              </w:rPr>
              <w:t>Current posture</w:t>
            </w:r>
          </w:p>
        </w:tc>
      </w:tr>
      <w:tr>
        <w:trPr>
          <w:cantSplit/>
        </w:trPr>
        <w:tc>
          <w:tcPr>
            <w:tcW w:type="dxa" w:w="1800"/>
            <w:vAlign w:val="top"/>
            <w:tcMar>
              <w:top w:w="80" w:type="dxa"/>
              <w:start w:w="90" w:type="dxa"/>
              <w:bottom w:w="80" w:type="dxa"/>
              <w:end w:w="90" w:type="dxa"/>
            </w:tcMar>
          </w:tcPr>
          <w:p>
            <w:pPr>
              <w:spacing w:after="30"/>
            </w:pPr>
            <w:r>
              <w:rPr>
                <w:sz w:val="16"/>
              </w:rPr>
              <w:t>Established</w:t>
            </w:r>
          </w:p>
        </w:tc>
        <w:tc>
          <w:tcPr>
            <w:tcW w:type="dxa" w:w="7992"/>
            <w:vAlign w:val="top"/>
            <w:tcMar>
              <w:top w:w="80" w:type="dxa"/>
              <w:start w:w="90" w:type="dxa"/>
              <w:bottom w:w="80" w:type="dxa"/>
              <w:end w:w="90" w:type="dxa"/>
            </w:tcMar>
          </w:tcPr>
          <w:p>
            <w:pPr>
              <w:spacing w:after="30"/>
            </w:pPr>
            <w:r>
              <w:rPr>
                <w:sz w:val="16"/>
              </w:rPr>
              <w:t>The Way must distinguish different concepts of ultimacy rather than collapsing them into one.</w:t>
            </w:r>
          </w:p>
        </w:tc>
      </w:tr>
      <w:tr>
        <w:trPr>
          <w:cantSplit/>
        </w:trPr>
        <w:tc>
          <w:tcPr>
            <w:tcW w:type="dxa" w:w="1800"/>
            <w:vAlign w:val="top"/>
            <w:tcMar>
              <w:top w:w="80" w:type="dxa"/>
              <w:start w:w="90" w:type="dxa"/>
              <w:bottom w:w="80" w:type="dxa"/>
              <w:end w:w="90" w:type="dxa"/>
            </w:tcMar>
            <w:shd w:fill="F8FAFC"/>
          </w:tcPr>
          <w:p>
            <w:pPr>
              <w:spacing w:after="30"/>
            </w:pPr>
            <w:r>
              <w:rPr>
                <w:sz w:val="16"/>
              </w:rPr>
              <w:t>Provisional</w:t>
            </w:r>
          </w:p>
        </w:tc>
        <w:tc>
          <w:tcPr>
            <w:tcW w:type="dxa" w:w="7992"/>
            <w:vAlign w:val="top"/>
            <w:tcMar>
              <w:top w:w="80" w:type="dxa"/>
              <w:start w:w="90" w:type="dxa"/>
              <w:bottom w:w="80" w:type="dxa"/>
              <w:end w:w="90" w:type="dxa"/>
            </w:tcMar>
            <w:shd w:fill="F8FAFC"/>
          </w:tcPr>
          <w:p>
            <w:pPr>
              <w:spacing w:after="30"/>
            </w:pPr>
            <w:r>
              <w:rPr>
                <w:sz w:val="16"/>
              </w:rPr>
              <w:t>Devotional use of "God" is permitted as ordinary prayer language while metaphysical definition remains open.</w:t>
            </w:r>
          </w:p>
        </w:tc>
      </w:tr>
      <w:tr>
        <w:trPr>
          <w:cantSplit/>
        </w:trPr>
        <w:tc>
          <w:tcPr>
            <w:tcW w:type="dxa" w:w="1800"/>
            <w:vAlign w:val="top"/>
            <w:tcMar>
              <w:top w:w="80" w:type="dxa"/>
              <w:start w:w="90" w:type="dxa"/>
              <w:bottom w:w="80" w:type="dxa"/>
              <w:end w:w="90" w:type="dxa"/>
            </w:tcMar>
          </w:tcPr>
          <w:p>
            <w:pPr>
              <w:spacing w:after="30"/>
            </w:pPr>
            <w:r>
              <w:rPr>
                <w:sz w:val="16"/>
              </w:rPr>
              <w:t>Open Question</w:t>
            </w:r>
          </w:p>
        </w:tc>
        <w:tc>
          <w:tcPr>
            <w:tcW w:type="dxa" w:w="7992"/>
            <w:vAlign w:val="top"/>
            <w:tcMar>
              <w:top w:w="80" w:type="dxa"/>
              <w:start w:w="90" w:type="dxa"/>
              <w:bottom w:w="80" w:type="dxa"/>
              <w:end w:w="90" w:type="dxa"/>
            </w:tcMar>
          </w:tcPr>
          <w:p>
            <w:pPr>
              <w:spacing w:after="30"/>
            </w:pPr>
            <w:r>
              <w:rPr>
                <w:sz w:val="16"/>
              </w:rPr>
              <w:t>The Assembly does not yet adopt a binding doctrine of divine personality, Trinity, strict unitarianism, nonduality, panentheism, or naturalism.</w:t>
            </w:r>
          </w:p>
        </w:tc>
      </w:tr>
      <w:tr>
        <w:trPr>
          <w:cantSplit/>
        </w:trPr>
        <w:tc>
          <w:tcPr>
            <w:tcW w:type="dxa" w:w="1800"/>
            <w:vAlign w:val="top"/>
            <w:tcMar>
              <w:top w:w="80" w:type="dxa"/>
              <w:start w:w="90" w:type="dxa"/>
              <w:bottom w:w="80" w:type="dxa"/>
              <w:end w:w="90" w:type="dxa"/>
            </w:tcMar>
            <w:shd w:fill="F8FAFC"/>
          </w:tcPr>
          <w:p>
            <w:pPr>
              <w:spacing w:after="30"/>
            </w:pPr>
            <w:r>
              <w:rPr>
                <w:sz w:val="16"/>
              </w:rPr>
              <w:t>Institutional safeguard</w:t>
            </w:r>
          </w:p>
        </w:tc>
        <w:tc>
          <w:tcPr>
            <w:tcW w:type="dxa" w:w="7992"/>
            <w:vAlign w:val="top"/>
            <w:tcMar>
              <w:top w:w="80" w:type="dxa"/>
              <w:start w:w="90" w:type="dxa"/>
              <w:bottom w:w="80" w:type="dxa"/>
              <w:end w:w="90" w:type="dxa"/>
            </w:tcMar>
            <w:shd w:fill="F8FAFC"/>
          </w:tcPr>
          <w:p>
            <w:pPr>
              <w:spacing w:after="30"/>
            </w:pPr>
            <w:r>
              <w:rPr>
                <w:sz w:val="16"/>
              </w:rPr>
              <w:t>No claimant may convert a private certainty about God into unchecked authority over another person.</w:t>
            </w:r>
          </w:p>
        </w:tc>
      </w:tr>
    </w:tbl>
    <w:p>
      <w:pPr>
        <w:pStyle w:val="Heading2"/>
      </w:pPr>
      <w:r>
        <w:t>What would materially change confidence?</w:t>
      </w:r>
    </w:p>
    <w:p>
      <w:pPr>
        <w:pStyle w:val="ListBullet"/>
      </w:pPr>
      <w:r>
        <w:t>Compelling publicly assessable evidence of divine action with reliable provenance and alternative explanations addressed.</w:t>
      </w:r>
    </w:p>
    <w:p>
      <w:pPr>
        <w:pStyle w:val="ListBullet"/>
      </w:pPr>
      <w:r>
        <w:t>Philosophical arguments that substantially outperform rivals on coherence, explanatory power, and moral implications.</w:t>
      </w:r>
    </w:p>
    <w:p>
      <w:pPr>
        <w:pStyle w:val="ListBullet"/>
      </w:pPr>
      <w:r>
        <w:t>Cross-tradition experiential evidence that discriminates among competing models rather than merely showing that religious experience occurs.</w:t>
      </w:r>
    </w:p>
    <w:p>
      <w:pPr>
        <w:pStyle w:val="ListBullet"/>
      </w:pPr>
      <w:r>
        <w:t>New evidence bearing on consciousness, cosmology, mind, or religious experience relevant to the metaphysical models.</w:t>
      </w:r>
    </w:p>
    <w:p>
      <w:pPr>
        <w:pStyle w:val="Heading2"/>
      </w:pPr>
      <w:r>
        <w:t>Next research questions</w:t>
      </w:r>
    </w:p>
    <w:p>
      <w:pPr>
        <w:pStyle w:val="ListBullet"/>
      </w:pPr>
      <w:r>
        <w:t>How should divine attributes be evaluated?</w:t>
      </w:r>
    </w:p>
    <w:p>
      <w:pPr>
        <w:pStyle w:val="ListBullet"/>
      </w:pPr>
      <w:r>
        <w:t>What is the relation between divine unity and personal plurality claims?</w:t>
      </w:r>
    </w:p>
    <w:p>
      <w:pPr>
        <w:pStyle w:val="ListBullet"/>
      </w:pPr>
      <w:r>
        <w:t>Can prayer be epistemically informative without becoming self-validating?</w:t>
      </w:r>
    </w:p>
    <w:p>
      <w:pPr>
        <w:pStyle w:val="ListBullet"/>
      </w:pPr>
      <w:r>
        <w:t>How should evil and apparently gratuitous suffering update confidence?</w:t>
      </w:r>
    </w:p>
    <w:p>
      <w:pPr>
        <w:pStyle w:val="Heading1"/>
        <w:pageBreakBefore/>
      </w:pPr>
      <w:r>
        <w:t>TQ-002 - Revelation / Prophecy</w:t>
      </w:r>
    </w:p>
    <w:tbl>
      <w:tblPr>
        <w:tblStyle w:val="TableGrid"/>
        <w:tblW w:type="auto" w:w="0"/>
        <w:tblLook w:firstColumn="1" w:firstRow="1" w:lastColumn="0" w:lastRow="0" w:noHBand="0" w:noVBand="1" w:val="04A0"/>
      </w:tblPr>
      <w:tblGrid>
        <w:gridCol w:w="9994"/>
      </w:tblGrid>
      <w:tr>
        <w:trPr>
          <w:tblHeader w:val="true"/>
        </w:trPr>
        <w:tc>
          <w:tcPr>
            <w:tcW w:type="dxa" w:w="9994"/>
            <w:shd w:fill="F8FAFC"/>
            <w:tcMar>
              <w:top w:w="130" w:type="dxa"/>
              <w:start w:w="160" w:type="dxa"/>
              <w:bottom w:w="130" w:type="dxa"/>
              <w:end w:w="160" w:type="dxa"/>
            </w:tcMar>
          </w:tcPr>
          <w:p>
            <w:r>
              <w:rPr>
                <w:b/>
                <w:color w:val="334155"/>
              </w:rPr>
              <w:t>Research question</w:t>
              <w:br/>
            </w:r>
            <w:r>
              <w:t>What counts as revelation, how can revelatory claims be evaluated, and what authority may such claims have?</w:t>
            </w:r>
          </w:p>
        </w:tc>
      </w:tr>
    </w:tbl>
    <w:p>
      <w:r>
        <w:t>Religions use 'revelation' for different things: alleged divine speech, divine acts in history, divine self-disclosure, inspired text, prophetic proclamation, awakened insight, or deepened perception of reality. A responsible system therefore evaluates revelation claims in layers rather than asking only whether a claimant is sincere.</w:t>
      </w:r>
    </w:p>
    <w:p>
      <w:pPr>
        <w:pStyle w:val="Heading2"/>
      </w:pPr>
      <w:r>
        <w:t>Witness map</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shd w:fill="334155"/>
            <w:vAlign w:val="center"/>
            <w:tcMar>
              <w:top w:w="80" w:type="dxa"/>
              <w:start w:w="90" w:type="dxa"/>
              <w:bottom w:w="80" w:type="dxa"/>
              <w:end w:w="90" w:type="dxa"/>
            </w:tcMar>
          </w:tcPr>
          <w:p>
            <w:r>
              <w:rPr>
                <w:b/>
                <w:color w:val="FFFFFF"/>
                <w:sz w:val="15"/>
              </w:rPr>
              <w:t>Witness</w:t>
            </w:r>
          </w:p>
        </w:tc>
        <w:tc>
          <w:tcPr>
            <w:tcW w:type="dxa" w:w="2880"/>
            <w:shd w:fill="334155"/>
            <w:vAlign w:val="center"/>
            <w:tcMar>
              <w:top w:w="80" w:type="dxa"/>
              <w:start w:w="90" w:type="dxa"/>
              <w:bottom w:w="80" w:type="dxa"/>
              <w:end w:w="90" w:type="dxa"/>
            </w:tcMar>
          </w:tcPr>
          <w:p>
            <w:r>
              <w:rPr>
                <w:b/>
                <w:color w:val="FFFFFF"/>
                <w:sz w:val="15"/>
              </w:rPr>
              <w:t>Source / corpus</w:t>
            </w:r>
          </w:p>
        </w:tc>
        <w:tc>
          <w:tcPr>
            <w:tcW w:type="dxa" w:w="4824"/>
            <w:shd w:fill="334155"/>
            <w:vAlign w:val="center"/>
            <w:tcMar>
              <w:top w:w="80" w:type="dxa"/>
              <w:start w:w="90" w:type="dxa"/>
              <w:bottom w:w="80" w:type="dxa"/>
              <w:end w:w="90" w:type="dxa"/>
            </w:tcMar>
          </w:tcPr>
          <w:p>
            <w:r>
              <w:rPr>
                <w:b/>
                <w:color w:val="FFFFFF"/>
                <w:sz w:val="15"/>
              </w:rPr>
              <w:t>Research use</w:t>
            </w:r>
          </w:p>
        </w:tc>
      </w:tr>
      <w:tr>
        <w:trPr>
          <w:cantSplit/>
        </w:trPr>
        <w:tc>
          <w:tcPr>
            <w:tcW w:type="dxa" w:w="2088"/>
            <w:vAlign w:val="top"/>
            <w:tcMar>
              <w:top w:w="80" w:type="dxa"/>
              <w:start w:w="90" w:type="dxa"/>
              <w:bottom w:w="80" w:type="dxa"/>
              <w:end w:w="90" w:type="dxa"/>
            </w:tcMar>
          </w:tcPr>
          <w:p>
            <w:pPr>
              <w:spacing w:after="30"/>
            </w:pPr>
            <w:r>
              <w:rPr>
                <w:sz w:val="15"/>
              </w:rPr>
              <w:t>Hebrew prophetic traditions</w:t>
            </w:r>
          </w:p>
        </w:tc>
        <w:tc>
          <w:tcPr>
            <w:tcW w:type="dxa" w:w="2880"/>
            <w:vAlign w:val="top"/>
            <w:tcMar>
              <w:top w:w="80" w:type="dxa"/>
              <w:start w:w="90" w:type="dxa"/>
              <w:bottom w:w="80" w:type="dxa"/>
              <w:end w:w="90" w:type="dxa"/>
            </w:tcMar>
          </w:tcPr>
          <w:p>
            <w:pPr>
              <w:spacing w:after="30"/>
            </w:pPr>
            <w:r>
              <w:rPr>
                <w:sz w:val="15"/>
              </w:rPr>
              <w:t>Torah and Prophets</w:t>
            </w:r>
          </w:p>
        </w:tc>
        <w:tc>
          <w:tcPr>
            <w:tcW w:type="dxa" w:w="4824"/>
            <w:vAlign w:val="top"/>
            <w:tcMar>
              <w:top w:w="80" w:type="dxa"/>
              <w:start w:w="90" w:type="dxa"/>
              <w:bottom w:w="80" w:type="dxa"/>
              <w:end w:w="90" w:type="dxa"/>
            </w:tcMar>
          </w:tcPr>
          <w:p>
            <w:pPr>
              <w:spacing w:after="30"/>
            </w:pPr>
            <w:r>
              <w:rPr>
                <w:sz w:val="15"/>
              </w:rPr>
              <w:t>Divine speech, covenant, vision, prophetic call, moral indictment, and historical interpretation.</w:t>
            </w:r>
          </w:p>
        </w:tc>
      </w:tr>
      <w:tr>
        <w:trPr>
          <w:cantSplit/>
        </w:trPr>
        <w:tc>
          <w:tcPr>
            <w:tcW w:type="dxa" w:w="2088"/>
            <w:vAlign w:val="top"/>
            <w:tcMar>
              <w:top w:w="80" w:type="dxa"/>
              <w:start w:w="90" w:type="dxa"/>
              <w:bottom w:w="80" w:type="dxa"/>
              <w:end w:w="90" w:type="dxa"/>
            </w:tcMar>
            <w:shd w:fill="F8FAFC"/>
          </w:tcPr>
          <w:p>
            <w:pPr>
              <w:spacing w:after="30"/>
            </w:pPr>
            <w:r>
              <w:rPr>
                <w:sz w:val="15"/>
              </w:rPr>
              <w:t>Christian traditions</w:t>
            </w:r>
          </w:p>
        </w:tc>
        <w:tc>
          <w:tcPr>
            <w:tcW w:type="dxa" w:w="2880"/>
            <w:vAlign w:val="top"/>
            <w:tcMar>
              <w:top w:w="80" w:type="dxa"/>
              <w:start w:w="90" w:type="dxa"/>
              <w:bottom w:w="80" w:type="dxa"/>
              <w:end w:w="90" w:type="dxa"/>
            </w:tcMar>
            <w:shd w:fill="F8FAFC"/>
          </w:tcPr>
          <w:p>
            <w:pPr>
              <w:spacing w:after="30"/>
            </w:pPr>
            <w:r>
              <w:rPr>
                <w:sz w:val="15"/>
              </w:rPr>
              <w:t>Jesus, apostolic witness, scripture, Spirit</w:t>
            </w:r>
          </w:p>
        </w:tc>
        <w:tc>
          <w:tcPr>
            <w:tcW w:type="dxa" w:w="4824"/>
            <w:vAlign w:val="top"/>
            <w:tcMar>
              <w:top w:w="80" w:type="dxa"/>
              <w:start w:w="90" w:type="dxa"/>
              <w:bottom w:w="80" w:type="dxa"/>
              <w:end w:w="90" w:type="dxa"/>
            </w:tcMar>
            <w:shd w:fill="F8FAFC"/>
          </w:tcPr>
          <w:p>
            <w:pPr>
              <w:spacing w:after="30"/>
            </w:pPr>
            <w:r>
              <w:rPr>
                <w:sz w:val="15"/>
              </w:rPr>
              <w:t>Revelation may be centered in a person/event as well as words; later traditions disagree over continuing revelation.</w:t>
            </w:r>
          </w:p>
        </w:tc>
      </w:tr>
      <w:tr>
        <w:trPr>
          <w:cantSplit/>
        </w:trPr>
        <w:tc>
          <w:tcPr>
            <w:tcW w:type="dxa" w:w="2088"/>
            <w:vAlign w:val="top"/>
            <w:tcMar>
              <w:top w:w="80" w:type="dxa"/>
              <w:start w:w="90" w:type="dxa"/>
              <w:bottom w:w="80" w:type="dxa"/>
              <w:end w:w="90" w:type="dxa"/>
            </w:tcMar>
          </w:tcPr>
          <w:p>
            <w:pPr>
              <w:spacing w:after="30"/>
            </w:pPr>
            <w:r>
              <w:rPr>
                <w:sz w:val="15"/>
              </w:rPr>
              <w:t>Islamic tradition</w:t>
            </w:r>
          </w:p>
        </w:tc>
        <w:tc>
          <w:tcPr>
            <w:tcW w:type="dxa" w:w="2880"/>
            <w:vAlign w:val="top"/>
            <w:tcMar>
              <w:top w:w="80" w:type="dxa"/>
              <w:start w:w="90" w:type="dxa"/>
              <w:bottom w:w="80" w:type="dxa"/>
              <w:end w:w="90" w:type="dxa"/>
            </w:tcMar>
          </w:tcPr>
          <w:p>
            <w:pPr>
              <w:spacing w:after="30"/>
            </w:pPr>
            <w:r>
              <w:rPr>
                <w:sz w:val="15"/>
              </w:rPr>
              <w:t>Qur'an and prophetic mission</w:t>
            </w:r>
          </w:p>
        </w:tc>
        <w:tc>
          <w:tcPr>
            <w:tcW w:type="dxa" w:w="4824"/>
            <w:vAlign w:val="top"/>
            <w:tcMar>
              <w:top w:w="80" w:type="dxa"/>
              <w:start w:w="90" w:type="dxa"/>
              <w:bottom w:w="80" w:type="dxa"/>
              <w:end w:w="90" w:type="dxa"/>
            </w:tcMar>
          </w:tcPr>
          <w:p>
            <w:pPr>
              <w:spacing w:after="30"/>
            </w:pPr>
            <w:r>
              <w:rPr>
                <w:sz w:val="15"/>
              </w:rPr>
              <w:t>Qur'an is presented as revealed speech delivered through Muhammad; later hadith/sira are distinct source classes.</w:t>
            </w:r>
          </w:p>
        </w:tc>
      </w:tr>
      <w:tr>
        <w:trPr>
          <w:cantSplit/>
        </w:trPr>
        <w:tc>
          <w:tcPr>
            <w:tcW w:type="dxa" w:w="2088"/>
            <w:vAlign w:val="top"/>
            <w:tcMar>
              <w:top w:w="80" w:type="dxa"/>
              <w:start w:w="90" w:type="dxa"/>
              <w:bottom w:w="80" w:type="dxa"/>
              <w:end w:w="90" w:type="dxa"/>
            </w:tcMar>
            <w:shd w:fill="F8FAFC"/>
          </w:tcPr>
          <w:p>
            <w:pPr>
              <w:spacing w:after="30"/>
            </w:pPr>
            <w:r>
              <w:rPr>
                <w:sz w:val="15"/>
              </w:rPr>
              <w:t>Buddhist traditions</w:t>
            </w:r>
          </w:p>
        </w:tc>
        <w:tc>
          <w:tcPr>
            <w:tcW w:type="dxa" w:w="2880"/>
            <w:vAlign w:val="top"/>
            <w:tcMar>
              <w:top w:w="80" w:type="dxa"/>
              <w:start w:w="90" w:type="dxa"/>
              <w:bottom w:w="80" w:type="dxa"/>
              <w:end w:w="90" w:type="dxa"/>
            </w:tcMar>
            <w:shd w:fill="F8FAFC"/>
          </w:tcPr>
          <w:p>
            <w:pPr>
              <w:spacing w:after="30"/>
            </w:pPr>
            <w:r>
              <w:rPr>
                <w:sz w:val="15"/>
              </w:rPr>
              <w:t>Awakening / insight</w:t>
            </w:r>
          </w:p>
        </w:tc>
        <w:tc>
          <w:tcPr>
            <w:tcW w:type="dxa" w:w="4824"/>
            <w:vAlign w:val="top"/>
            <w:tcMar>
              <w:top w:w="80" w:type="dxa"/>
              <w:start w:w="90" w:type="dxa"/>
              <w:bottom w:w="80" w:type="dxa"/>
              <w:end w:w="90" w:type="dxa"/>
            </w:tcMar>
            <w:shd w:fill="F8FAFC"/>
          </w:tcPr>
          <w:p>
            <w:pPr>
              <w:spacing w:after="30"/>
            </w:pPr>
            <w:r>
              <w:rPr>
                <w:sz w:val="15"/>
              </w:rPr>
              <w:t>The Buddha's authority is typically framed as awakening and insight rather than a creator deity dictating revelation.</w:t>
            </w:r>
          </w:p>
        </w:tc>
      </w:tr>
      <w:tr>
        <w:trPr>
          <w:cantSplit/>
        </w:trPr>
        <w:tc>
          <w:tcPr>
            <w:tcW w:type="dxa" w:w="2088"/>
            <w:vAlign w:val="top"/>
            <w:tcMar>
              <w:top w:w="80" w:type="dxa"/>
              <w:start w:w="90" w:type="dxa"/>
              <w:bottom w:w="80" w:type="dxa"/>
              <w:end w:w="90" w:type="dxa"/>
            </w:tcMar>
          </w:tcPr>
          <w:p>
            <w:pPr>
              <w:spacing w:after="30"/>
            </w:pPr>
            <w:r>
              <w:rPr>
                <w:sz w:val="15"/>
              </w:rPr>
              <w:t>Sikh tradition</w:t>
            </w:r>
          </w:p>
        </w:tc>
        <w:tc>
          <w:tcPr>
            <w:tcW w:type="dxa" w:w="2880"/>
            <w:vAlign w:val="top"/>
            <w:tcMar>
              <w:top w:w="80" w:type="dxa"/>
              <w:start w:w="90" w:type="dxa"/>
              <w:bottom w:w="80" w:type="dxa"/>
              <w:end w:w="90" w:type="dxa"/>
            </w:tcMar>
          </w:tcPr>
          <w:p>
            <w:pPr>
              <w:spacing w:after="30"/>
            </w:pPr>
            <w:r>
              <w:rPr>
                <w:sz w:val="15"/>
              </w:rPr>
              <w:t>Gurbani / Guru</w:t>
            </w:r>
          </w:p>
        </w:tc>
        <w:tc>
          <w:tcPr>
            <w:tcW w:type="dxa" w:w="4824"/>
            <w:vAlign w:val="top"/>
            <w:tcMar>
              <w:top w:w="80" w:type="dxa"/>
              <w:start w:w="90" w:type="dxa"/>
              <w:bottom w:w="80" w:type="dxa"/>
              <w:end w:w="90" w:type="dxa"/>
            </w:tcMar>
          </w:tcPr>
          <w:p>
            <w:pPr>
              <w:spacing w:after="30"/>
            </w:pPr>
            <w:r>
              <w:rPr>
                <w:sz w:val="15"/>
              </w:rPr>
              <w:t>Revelatory and devotional authority is mediated through the Gurus and Guru Granth Sahib in Sikh self-understanding.</w:t>
            </w:r>
          </w:p>
        </w:tc>
      </w:tr>
      <w:tr>
        <w:trPr>
          <w:cantSplit/>
        </w:trPr>
        <w:tc>
          <w:tcPr>
            <w:tcW w:type="dxa" w:w="2088"/>
            <w:vAlign w:val="top"/>
            <w:tcMar>
              <w:top w:w="80" w:type="dxa"/>
              <w:start w:w="90" w:type="dxa"/>
              <w:bottom w:w="80" w:type="dxa"/>
              <w:end w:w="90" w:type="dxa"/>
            </w:tcMar>
            <w:shd w:fill="F8FAFC"/>
          </w:tcPr>
          <w:p>
            <w:pPr>
              <w:spacing w:after="30"/>
            </w:pPr>
            <w:r>
              <w:rPr>
                <w:sz w:val="15"/>
              </w:rPr>
              <w:t>Philosophy</w:t>
            </w:r>
          </w:p>
        </w:tc>
        <w:tc>
          <w:tcPr>
            <w:tcW w:type="dxa" w:w="2880"/>
            <w:vAlign w:val="top"/>
            <w:tcMar>
              <w:top w:w="80" w:type="dxa"/>
              <w:start w:w="90" w:type="dxa"/>
              <w:bottom w:w="80" w:type="dxa"/>
              <w:end w:w="90" w:type="dxa"/>
            </w:tcMar>
            <w:shd w:fill="F8FAFC"/>
          </w:tcPr>
          <w:p>
            <w:pPr>
              <w:spacing w:after="30"/>
            </w:pPr>
            <w:r>
              <w:rPr>
                <w:sz w:val="15"/>
              </w:rPr>
              <w:t>Models of divine revelation</w:t>
            </w:r>
          </w:p>
        </w:tc>
        <w:tc>
          <w:tcPr>
            <w:tcW w:type="dxa" w:w="4824"/>
            <w:vAlign w:val="top"/>
            <w:tcMar>
              <w:top w:w="80" w:type="dxa"/>
              <w:start w:w="90" w:type="dxa"/>
              <w:bottom w:w="80" w:type="dxa"/>
              <w:end w:w="90" w:type="dxa"/>
            </w:tcMar>
            <w:shd w:fill="F8FAFC"/>
          </w:tcPr>
          <w:p>
            <w:pPr>
              <w:spacing w:after="30"/>
            </w:pPr>
            <w:r>
              <w:rPr>
                <w:sz w:val="15"/>
              </w:rPr>
              <w:t>Revelation can mean alleged divine speaking, special acts, or broader divine self-disclosure; justification remains a separate question.</w:t>
            </w:r>
          </w:p>
        </w:tc>
      </w:tr>
    </w:tbl>
    <w:p>
      <w:pPr>
        <w:pStyle w:val="Heading2"/>
      </w:pPr>
      <w:r>
        <w:t>Findings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4968"/>
            <w:shd w:fill="334155"/>
            <w:vAlign w:val="center"/>
            <w:tcMar>
              <w:top w:w="80" w:type="dxa"/>
              <w:start w:w="90" w:type="dxa"/>
              <w:bottom w:w="80" w:type="dxa"/>
              <w:end w:w="90" w:type="dxa"/>
            </w:tcMar>
          </w:tcPr>
          <w:p>
            <w:r>
              <w:rPr>
                <w:b/>
                <w:color w:val="FFFFFF"/>
                <w:sz w:val="15"/>
              </w:rPr>
              <w:t>Claim</w:t>
            </w:r>
          </w:p>
        </w:tc>
        <w:tc>
          <w:tcPr>
            <w:tcW w:type="dxa" w:w="1728"/>
            <w:shd w:fill="334155"/>
            <w:vAlign w:val="center"/>
            <w:tcMar>
              <w:top w:w="80" w:type="dxa"/>
              <w:start w:w="90" w:type="dxa"/>
              <w:bottom w:w="80" w:type="dxa"/>
              <w:end w:w="90" w:type="dxa"/>
            </w:tcMar>
          </w:tcPr>
          <w:p>
            <w:r>
              <w:rPr>
                <w:b/>
                <w:color w:val="FFFFFF"/>
                <w:sz w:val="15"/>
              </w:rPr>
              <w:t>Confidence</w:t>
            </w:r>
          </w:p>
        </w:tc>
        <w:tc>
          <w:tcPr>
            <w:tcW w:type="dxa" w:w="3096"/>
            <w:shd w:fill="334155"/>
            <w:vAlign w:val="center"/>
            <w:tcMar>
              <w:top w:w="80" w:type="dxa"/>
              <w:start w:w="90" w:type="dxa"/>
              <w:bottom w:w="80" w:type="dxa"/>
              <w:end w:w="90" w:type="dxa"/>
            </w:tcMar>
          </w:tcPr>
          <w:p>
            <w:r>
              <w:rPr>
                <w:b/>
                <w:color w:val="FFFFFF"/>
                <w:sz w:val="15"/>
              </w:rPr>
              <w:t>Research note</w:t>
            </w:r>
          </w:p>
        </w:tc>
      </w:tr>
      <w:tr>
        <w:trPr>
          <w:cantSplit/>
        </w:trPr>
        <w:tc>
          <w:tcPr>
            <w:tcW w:type="dxa" w:w="4968"/>
            <w:vAlign w:val="top"/>
            <w:tcMar>
              <w:top w:w="80" w:type="dxa"/>
              <w:start w:w="90" w:type="dxa"/>
              <w:bottom w:w="80" w:type="dxa"/>
              <w:end w:w="90" w:type="dxa"/>
            </w:tcMar>
          </w:tcPr>
          <w:p>
            <w:pPr>
              <w:spacing w:after="30"/>
            </w:pPr>
            <w:r>
              <w:rPr>
                <w:sz w:val="15"/>
              </w:rPr>
              <w:t>Sincerity and intensity do not establish divine origin.</w:t>
            </w:r>
          </w:p>
        </w:tc>
        <w:tc>
          <w:tcPr>
            <w:tcW w:type="dxa" w:w="1728"/>
            <w:vAlign w:val="top"/>
            <w:tcMar>
              <w:top w:w="80" w:type="dxa"/>
              <w:start w:w="90" w:type="dxa"/>
              <w:bottom w:w="80" w:type="dxa"/>
              <w:end w:w="90" w:type="dxa"/>
            </w:tcMar>
          </w:tcPr>
          <w:p>
            <w:pPr>
              <w:spacing w:after="30"/>
            </w:pPr>
            <w:r>
              <w:rPr>
                <w:sz w:val="15"/>
              </w:rPr>
              <w:t>Established</w:t>
            </w:r>
          </w:p>
        </w:tc>
        <w:tc>
          <w:tcPr>
            <w:tcW w:type="dxa" w:w="3096"/>
            <w:vAlign w:val="top"/>
            <w:tcMar>
              <w:top w:w="80" w:type="dxa"/>
              <w:start w:w="90" w:type="dxa"/>
              <w:bottom w:w="80" w:type="dxa"/>
              <w:end w:w="90" w:type="dxa"/>
            </w:tcMar>
          </w:tcPr>
          <w:p>
            <w:pPr>
              <w:spacing w:after="30"/>
            </w:pPr>
            <w:r>
              <w:rPr>
                <w:sz w:val="15"/>
              </w:rPr>
              <w:t>They may establish that the person sincerely reports an experience.</w:t>
            </w:r>
          </w:p>
        </w:tc>
      </w:tr>
      <w:tr>
        <w:trPr>
          <w:cantSplit/>
        </w:trPr>
        <w:tc>
          <w:tcPr>
            <w:tcW w:type="dxa" w:w="4968"/>
            <w:vAlign w:val="top"/>
            <w:tcMar>
              <w:top w:w="80" w:type="dxa"/>
              <w:start w:w="90" w:type="dxa"/>
              <w:bottom w:w="80" w:type="dxa"/>
              <w:end w:w="90" w:type="dxa"/>
            </w:tcMar>
            <w:shd w:fill="F8FAFC"/>
          </w:tcPr>
          <w:p>
            <w:pPr>
              <w:spacing w:after="30"/>
            </w:pPr>
            <w:r>
              <w:rPr>
                <w:sz w:val="15"/>
              </w:rPr>
              <w:t>A report of revelation and the interpretation of that report are distinct evidentiary objects.</w:t>
            </w:r>
          </w:p>
        </w:tc>
        <w:tc>
          <w:tcPr>
            <w:tcW w:type="dxa" w:w="1728"/>
            <w:vAlign w:val="top"/>
            <w:tcMar>
              <w:top w:w="80" w:type="dxa"/>
              <w:start w:w="90" w:type="dxa"/>
              <w:bottom w:w="80" w:type="dxa"/>
              <w:end w:w="90" w:type="dxa"/>
            </w:tcMar>
            <w:shd w:fill="F8FAFC"/>
          </w:tcPr>
          <w:p>
            <w:pPr>
              <w:spacing w:after="30"/>
            </w:pPr>
            <w:r>
              <w:rPr>
                <w:sz w:val="15"/>
              </w:rPr>
              <w:t>Established</w:t>
            </w:r>
          </w:p>
        </w:tc>
        <w:tc>
          <w:tcPr>
            <w:tcW w:type="dxa" w:w="3096"/>
            <w:vAlign w:val="top"/>
            <w:tcMar>
              <w:top w:w="80" w:type="dxa"/>
              <w:start w:w="90" w:type="dxa"/>
              <w:bottom w:w="80" w:type="dxa"/>
              <w:end w:w="90" w:type="dxa"/>
            </w:tcMar>
            <w:shd w:fill="F8FAFC"/>
          </w:tcPr>
          <w:p>
            <w:pPr>
              <w:spacing w:after="30"/>
            </w:pPr>
            <w:r>
              <w:rPr>
                <w:sz w:val="15"/>
              </w:rPr>
              <w:t>This is foundational to the Way's epistemic grammar.</w:t>
            </w:r>
          </w:p>
        </w:tc>
      </w:tr>
      <w:tr>
        <w:trPr>
          <w:cantSplit/>
        </w:trPr>
        <w:tc>
          <w:tcPr>
            <w:tcW w:type="dxa" w:w="4968"/>
            <w:vAlign w:val="top"/>
            <w:tcMar>
              <w:top w:w="80" w:type="dxa"/>
              <w:start w:w="90" w:type="dxa"/>
              <w:bottom w:w="80" w:type="dxa"/>
              <w:end w:w="90" w:type="dxa"/>
            </w:tcMar>
          </w:tcPr>
          <w:p>
            <w:pPr>
              <w:spacing w:after="30"/>
            </w:pPr>
            <w:r>
              <w:rPr>
                <w:sz w:val="15"/>
              </w:rPr>
              <w:t>Private revelation can rationally matter to the experiencer more than to outsiders.</w:t>
            </w:r>
          </w:p>
        </w:tc>
        <w:tc>
          <w:tcPr>
            <w:tcW w:type="dxa" w:w="1728"/>
            <w:vAlign w:val="top"/>
            <w:tcMar>
              <w:top w:w="80" w:type="dxa"/>
              <w:start w:w="90" w:type="dxa"/>
              <w:bottom w:w="80" w:type="dxa"/>
              <w:end w:w="90" w:type="dxa"/>
            </w:tcMar>
          </w:tcPr>
          <w:p>
            <w:pPr>
              <w:spacing w:after="30"/>
            </w:pPr>
            <w:r>
              <w:rPr>
                <w:sz w:val="15"/>
              </w:rPr>
              <w:t>Well-Supported</w:t>
            </w:r>
          </w:p>
        </w:tc>
        <w:tc>
          <w:tcPr>
            <w:tcW w:type="dxa" w:w="3096"/>
            <w:vAlign w:val="top"/>
            <w:tcMar>
              <w:top w:w="80" w:type="dxa"/>
              <w:start w:w="90" w:type="dxa"/>
              <w:bottom w:w="80" w:type="dxa"/>
              <w:end w:w="90" w:type="dxa"/>
            </w:tcMar>
          </w:tcPr>
          <w:p>
            <w:pPr>
              <w:spacing w:after="30"/>
            </w:pPr>
            <w:r>
              <w:rPr>
                <w:sz w:val="15"/>
              </w:rPr>
              <w:t>Public institutional claims require additional reasons accessible to those affected.</w:t>
            </w:r>
          </w:p>
        </w:tc>
      </w:tr>
      <w:tr>
        <w:trPr>
          <w:cantSplit/>
        </w:trPr>
        <w:tc>
          <w:tcPr>
            <w:tcW w:type="dxa" w:w="4968"/>
            <w:vAlign w:val="top"/>
            <w:tcMar>
              <w:top w:w="80" w:type="dxa"/>
              <w:start w:w="90" w:type="dxa"/>
              <w:bottom w:w="80" w:type="dxa"/>
              <w:end w:w="90" w:type="dxa"/>
            </w:tcMar>
            <w:shd w:fill="F8FAFC"/>
          </w:tcPr>
          <w:p>
            <w:pPr>
              <w:spacing w:after="30"/>
            </w:pPr>
            <w:r>
              <w:rPr>
                <w:sz w:val="15"/>
              </w:rPr>
              <w:t>History can study revelation claims and their effects but cannot by historical method alone prove a transcendent source.</w:t>
            </w:r>
          </w:p>
        </w:tc>
        <w:tc>
          <w:tcPr>
            <w:tcW w:type="dxa" w:w="1728"/>
            <w:vAlign w:val="top"/>
            <w:tcMar>
              <w:top w:w="80" w:type="dxa"/>
              <w:start w:w="90" w:type="dxa"/>
              <w:bottom w:w="80" w:type="dxa"/>
              <w:end w:w="90" w:type="dxa"/>
            </w:tcMar>
            <w:shd w:fill="F8FAFC"/>
          </w:tcPr>
          <w:p>
            <w:pPr>
              <w:spacing w:after="30"/>
            </w:pPr>
            <w:r>
              <w:rPr>
                <w:sz w:val="15"/>
              </w:rPr>
              <w:t>Established</w:t>
            </w:r>
          </w:p>
        </w:tc>
        <w:tc>
          <w:tcPr>
            <w:tcW w:type="dxa" w:w="3096"/>
            <w:vAlign w:val="top"/>
            <w:tcMar>
              <w:top w:w="80" w:type="dxa"/>
              <w:start w:w="90" w:type="dxa"/>
              <w:bottom w:w="80" w:type="dxa"/>
              <w:end w:w="90" w:type="dxa"/>
            </w:tcMar>
            <w:shd w:fill="F8FAFC"/>
          </w:tcPr>
          <w:p>
            <w:pPr>
              <w:spacing w:after="30"/>
            </w:pPr>
            <w:r>
              <w:rPr>
                <w:sz w:val="15"/>
              </w:rPr>
              <w:t>Metaphysical/theological inference requires additional argument.</w:t>
            </w:r>
          </w:p>
        </w:tc>
      </w:tr>
      <w:tr>
        <w:trPr>
          <w:cantSplit/>
        </w:trPr>
        <w:tc>
          <w:tcPr>
            <w:tcW w:type="dxa" w:w="4968"/>
            <w:vAlign w:val="top"/>
            <w:tcMar>
              <w:top w:w="80" w:type="dxa"/>
              <w:start w:w="90" w:type="dxa"/>
              <w:bottom w:w="80" w:type="dxa"/>
              <w:end w:w="90" w:type="dxa"/>
            </w:tcMar>
          </w:tcPr>
          <w:p>
            <w:pPr>
              <w:spacing w:after="30"/>
            </w:pPr>
            <w:r>
              <w:rPr>
                <w:sz w:val="15"/>
              </w:rPr>
              <w:t>No contemporary revelation claim should automatically amend doctrine or governance.</w:t>
            </w:r>
          </w:p>
        </w:tc>
        <w:tc>
          <w:tcPr>
            <w:tcW w:type="dxa" w:w="1728"/>
            <w:vAlign w:val="top"/>
            <w:tcMar>
              <w:top w:w="80" w:type="dxa"/>
              <w:start w:w="90" w:type="dxa"/>
              <w:bottom w:w="80" w:type="dxa"/>
              <w:end w:w="90" w:type="dxa"/>
            </w:tcMar>
          </w:tcPr>
          <w:p>
            <w:pPr>
              <w:spacing w:after="30"/>
            </w:pPr>
            <w:r>
              <w:rPr>
                <w:sz w:val="15"/>
              </w:rPr>
              <w:t>Established - Institutional</w:t>
            </w:r>
          </w:p>
        </w:tc>
        <w:tc>
          <w:tcPr>
            <w:tcW w:type="dxa" w:w="3096"/>
            <w:vAlign w:val="top"/>
            <w:tcMar>
              <w:top w:w="80" w:type="dxa"/>
              <w:start w:w="90" w:type="dxa"/>
              <w:bottom w:w="80" w:type="dxa"/>
              <w:end w:w="90" w:type="dxa"/>
            </w:tcMar>
          </w:tcPr>
          <w:p>
            <w:pPr>
              <w:spacing w:after="30"/>
            </w:pPr>
            <w:r>
              <w:rPr>
                <w:sz w:val="15"/>
              </w:rPr>
              <w:t>Rights and lawful amendment processes remain controlling.</w:t>
            </w:r>
          </w:p>
        </w:tc>
      </w:tr>
    </w:tbl>
    <w:p>
      <w:pPr>
        <w:pStyle w:val="Heading2"/>
      </w:pPr>
      <w:r>
        <w:t>Major interpretations still in view</w:t>
      </w:r>
    </w:p>
    <w:p>
      <w:r>
        <w:rPr>
          <w:b/>
        </w:rPr>
        <w:t xml:space="preserve">Propositional revelation: </w:t>
      </w:r>
      <w:r>
        <w:t>God communicates truths in words or word-like content.</w:t>
      </w:r>
    </w:p>
    <w:p>
      <w:r>
        <w:rPr>
          <w:b/>
        </w:rPr>
        <w:t xml:space="preserve">Historical-event revelation: </w:t>
      </w:r>
      <w:r>
        <w:t>Divine self-disclosure occurs through events interpreted within a community.</w:t>
      </w:r>
    </w:p>
    <w:p>
      <w:r>
        <w:rPr>
          <w:b/>
        </w:rPr>
        <w:t xml:space="preserve">Personal revelation: </w:t>
      </w:r>
      <w:r>
        <w:t>A person is understood as the decisive self-disclosure of God, as in major Christian Christologies.</w:t>
      </w:r>
    </w:p>
    <w:p>
      <w:r>
        <w:rPr>
          <w:b/>
        </w:rPr>
        <w:t xml:space="preserve">Illuminative / contemplative revelation: </w:t>
      </w:r>
      <w:r>
        <w:t>Insight arises through disciplined perception, contemplation, or awakening.</w:t>
      </w:r>
    </w:p>
    <w:p>
      <w:r>
        <w:rPr>
          <w:b/>
        </w:rPr>
        <w:t xml:space="preserve">Natural revelation: </w:t>
      </w:r>
      <w:r>
        <w:t>Nature, reason, conscience, or the cosmos discloses divine reality apart from special prophecy.</w:t>
      </w:r>
    </w:p>
    <w:p>
      <w:pPr>
        <w:pStyle w:val="Heading2"/>
      </w:pPr>
      <w:r>
        <w:t>Current Way posture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800"/>
            <w:shd w:fill="334155"/>
            <w:vAlign w:val="center"/>
            <w:tcMar>
              <w:top w:w="80" w:type="dxa"/>
              <w:start w:w="90" w:type="dxa"/>
              <w:bottom w:w="80" w:type="dxa"/>
              <w:end w:w="90" w:type="dxa"/>
            </w:tcMar>
          </w:tcPr>
          <w:p>
            <w:r>
              <w:rPr>
                <w:b/>
                <w:color w:val="FFFFFF"/>
                <w:sz w:val="16"/>
              </w:rPr>
              <w:t>Status</w:t>
            </w:r>
          </w:p>
        </w:tc>
        <w:tc>
          <w:tcPr>
            <w:tcW w:type="dxa" w:w="7992"/>
            <w:shd w:fill="334155"/>
            <w:vAlign w:val="center"/>
            <w:tcMar>
              <w:top w:w="80" w:type="dxa"/>
              <w:start w:w="90" w:type="dxa"/>
              <w:bottom w:w="80" w:type="dxa"/>
              <w:end w:w="90" w:type="dxa"/>
            </w:tcMar>
          </w:tcPr>
          <w:p>
            <w:r>
              <w:rPr>
                <w:b/>
                <w:color w:val="FFFFFF"/>
                <w:sz w:val="16"/>
              </w:rPr>
              <w:t>Current posture</w:t>
            </w:r>
          </w:p>
        </w:tc>
      </w:tr>
      <w:tr>
        <w:trPr>
          <w:cantSplit/>
        </w:trPr>
        <w:tc>
          <w:tcPr>
            <w:tcW w:type="dxa" w:w="1800"/>
            <w:vAlign w:val="top"/>
            <w:tcMar>
              <w:top w:w="80" w:type="dxa"/>
              <w:start w:w="90" w:type="dxa"/>
              <w:bottom w:w="80" w:type="dxa"/>
              <w:end w:w="90" w:type="dxa"/>
            </w:tcMar>
          </w:tcPr>
          <w:p>
            <w:pPr>
              <w:spacing w:after="30"/>
            </w:pPr>
            <w:r>
              <w:rPr>
                <w:sz w:val="16"/>
              </w:rPr>
              <w:t>Established</w:t>
            </w:r>
          </w:p>
        </w:tc>
        <w:tc>
          <w:tcPr>
            <w:tcW w:type="dxa" w:w="7992"/>
            <w:vAlign w:val="top"/>
            <w:tcMar>
              <w:top w:w="80" w:type="dxa"/>
              <w:start w:w="90" w:type="dxa"/>
              <w:bottom w:w="80" w:type="dxa"/>
              <w:end w:w="90" w:type="dxa"/>
            </w:tcMar>
          </w:tcPr>
          <w:p>
            <w:pPr>
              <w:spacing w:after="30"/>
            </w:pPr>
            <w:r>
              <w:rPr>
                <w:sz w:val="16"/>
              </w:rPr>
              <w:t>Revelation claims are classified as claims before they are classified as authority.</w:t>
            </w:r>
          </w:p>
        </w:tc>
      </w:tr>
      <w:tr>
        <w:trPr>
          <w:cantSplit/>
        </w:trPr>
        <w:tc>
          <w:tcPr>
            <w:tcW w:type="dxa" w:w="1800"/>
            <w:vAlign w:val="top"/>
            <w:tcMar>
              <w:top w:w="80" w:type="dxa"/>
              <w:start w:w="90" w:type="dxa"/>
              <w:bottom w:w="80" w:type="dxa"/>
              <w:end w:w="90" w:type="dxa"/>
            </w:tcMar>
            <w:shd w:fill="F8FAFC"/>
          </w:tcPr>
          <w:p>
            <w:pPr>
              <w:spacing w:after="30"/>
            </w:pPr>
            <w:r>
              <w:rPr>
                <w:sz w:val="16"/>
              </w:rPr>
              <w:t>Provisional</w:t>
            </w:r>
          </w:p>
        </w:tc>
        <w:tc>
          <w:tcPr>
            <w:tcW w:type="dxa" w:w="7992"/>
            <w:vAlign w:val="top"/>
            <w:tcMar>
              <w:top w:w="80" w:type="dxa"/>
              <w:start w:w="90" w:type="dxa"/>
              <w:bottom w:w="80" w:type="dxa"/>
              <w:end w:w="90" w:type="dxa"/>
            </w:tcMar>
            <w:shd w:fill="F8FAFC"/>
          </w:tcPr>
          <w:p>
            <w:pPr>
              <w:spacing w:after="30"/>
            </w:pPr>
            <w:r>
              <w:rPr>
                <w:sz w:val="16"/>
              </w:rPr>
              <w:t>The Assembly may receive a personal testimony as spiritually meaningful without adopting its claimed divine interpretation.</w:t>
            </w:r>
          </w:p>
        </w:tc>
      </w:tr>
      <w:tr>
        <w:trPr>
          <w:cantSplit/>
        </w:trPr>
        <w:tc>
          <w:tcPr>
            <w:tcW w:type="dxa" w:w="1800"/>
            <w:vAlign w:val="top"/>
            <w:tcMar>
              <w:top w:w="80" w:type="dxa"/>
              <w:start w:w="90" w:type="dxa"/>
              <w:bottom w:w="80" w:type="dxa"/>
              <w:end w:w="90" w:type="dxa"/>
            </w:tcMar>
          </w:tcPr>
          <w:p>
            <w:pPr>
              <w:spacing w:after="30"/>
            </w:pPr>
            <w:r>
              <w:rPr>
                <w:sz w:val="16"/>
              </w:rPr>
              <w:t>Open Question</w:t>
            </w:r>
          </w:p>
        </w:tc>
        <w:tc>
          <w:tcPr>
            <w:tcW w:type="dxa" w:w="7992"/>
            <w:vAlign w:val="top"/>
            <w:tcMar>
              <w:top w:w="80" w:type="dxa"/>
              <w:start w:w="90" w:type="dxa"/>
              <w:bottom w:w="80" w:type="dxa"/>
              <w:end w:w="90" w:type="dxa"/>
            </w:tcMar>
          </w:tcPr>
          <w:p>
            <w:pPr>
              <w:spacing w:after="30"/>
            </w:pPr>
            <w:r>
              <w:rPr>
                <w:sz w:val="16"/>
              </w:rPr>
              <w:t>Whether any historical revelation is genuinely divine, and if so by what mechanism.</w:t>
            </w:r>
          </w:p>
        </w:tc>
      </w:tr>
      <w:tr>
        <w:trPr>
          <w:cantSplit/>
        </w:trPr>
        <w:tc>
          <w:tcPr>
            <w:tcW w:type="dxa" w:w="1800"/>
            <w:vAlign w:val="top"/>
            <w:tcMar>
              <w:top w:w="80" w:type="dxa"/>
              <w:start w:w="90" w:type="dxa"/>
              <w:bottom w:w="80" w:type="dxa"/>
              <w:end w:w="90" w:type="dxa"/>
            </w:tcMar>
            <w:shd w:fill="F8FAFC"/>
          </w:tcPr>
          <w:p>
            <w:pPr>
              <w:spacing w:after="30"/>
            </w:pPr>
            <w:r>
              <w:rPr>
                <w:sz w:val="16"/>
              </w:rPr>
              <w:t>Institutional safeguard</w:t>
            </w:r>
          </w:p>
        </w:tc>
        <w:tc>
          <w:tcPr>
            <w:tcW w:type="dxa" w:w="7992"/>
            <w:vAlign w:val="top"/>
            <w:tcMar>
              <w:top w:w="80" w:type="dxa"/>
              <w:start w:w="90" w:type="dxa"/>
              <w:bottom w:w="80" w:type="dxa"/>
              <w:end w:w="90" w:type="dxa"/>
            </w:tcMar>
            <w:shd w:fill="F8FAFC"/>
          </w:tcPr>
          <w:p>
            <w:pPr>
              <w:spacing w:after="30"/>
            </w:pPr>
            <w:r>
              <w:rPr>
                <w:sz w:val="16"/>
              </w:rPr>
              <w:t>No revelation can authorize sexual access, self-compensation, evidence destruction, coercion, rights suspension, or exemption from safeguarding.</w:t>
            </w:r>
          </w:p>
        </w:tc>
      </w:tr>
    </w:tbl>
    <w:p>
      <w:pPr>
        <w:pStyle w:val="Heading2"/>
      </w:pPr>
      <w:r>
        <w:t>What would materially change confidence?</w:t>
      </w:r>
    </w:p>
    <w:p>
      <w:pPr>
        <w:pStyle w:val="ListBullet"/>
      </w:pPr>
      <w:r>
        <w:t>Reliable independent corroboration of otherwise inaccessible information under controlled conditions.</w:t>
      </w:r>
    </w:p>
    <w:p>
      <w:pPr>
        <w:pStyle w:val="ListBullet"/>
      </w:pPr>
      <w:r>
        <w:t>Predictive or explanatory success that survives pre-registration, ambiguity controls, and alternative explanations where such testing is appropriate.</w:t>
      </w:r>
    </w:p>
    <w:p>
      <w:pPr>
        <w:pStyle w:val="ListBullet"/>
      </w:pPr>
      <w:r>
        <w:t>Historical evidence materially improving the provenance of ancient revelation reports.</w:t>
      </w:r>
    </w:p>
    <w:p>
      <w:pPr>
        <w:pStyle w:val="ListBullet"/>
      </w:pPr>
      <w:r>
        <w:t>A coherent theology explaining both successful and failed revelation claims without ad hoc immunization.</w:t>
      </w:r>
    </w:p>
    <w:p>
      <w:pPr>
        <w:pStyle w:val="Heading2"/>
      </w:pPr>
      <w:r>
        <w:t>Next research questions</w:t>
      </w:r>
    </w:p>
    <w:p>
      <w:pPr>
        <w:pStyle w:val="ListBullet"/>
      </w:pPr>
      <w:r>
        <w:t>Can revelation continue today?</w:t>
      </w:r>
    </w:p>
    <w:p>
      <w:pPr>
        <w:pStyle w:val="ListBullet"/>
      </w:pPr>
      <w:r>
        <w:t>How should fulfilled and failed prophecy be scored?</w:t>
      </w:r>
    </w:p>
    <w:p>
      <w:pPr>
        <w:pStyle w:val="ListBullet"/>
      </w:pPr>
      <w:r>
        <w:t>What role should moral character play without circular reasoning?</w:t>
      </w:r>
    </w:p>
    <w:p>
      <w:pPr>
        <w:pStyle w:val="ListBullet"/>
      </w:pPr>
      <w:r>
        <w:t>What distinguishes inspiration, intuition, conscience, and revelation?</w:t>
      </w:r>
    </w:p>
    <w:p>
      <w:pPr>
        <w:pStyle w:val="Heading1"/>
        <w:pageBreakBefore/>
      </w:pPr>
      <w:r>
        <w:t>TQ-003 - Jesus / Christology</w:t>
      </w:r>
    </w:p>
    <w:tbl>
      <w:tblPr>
        <w:tblStyle w:val="TableGrid"/>
        <w:tblW w:type="auto" w:w="0"/>
        <w:tblLook w:firstColumn="1" w:firstRow="1" w:lastColumn="0" w:lastRow="0" w:noHBand="0" w:noVBand="1" w:val="04A0"/>
      </w:tblPr>
      <w:tblGrid>
        <w:gridCol w:w="9994"/>
      </w:tblGrid>
      <w:tr>
        <w:trPr>
          <w:tblHeader w:val="true"/>
        </w:trPr>
        <w:tc>
          <w:tcPr>
            <w:tcW w:type="dxa" w:w="9994"/>
            <w:shd w:fill="F8FAFC"/>
            <w:tcMar>
              <w:top w:w="130" w:type="dxa"/>
              <w:start w:w="160" w:type="dxa"/>
              <w:bottom w:w="130" w:type="dxa"/>
              <w:end w:w="160" w:type="dxa"/>
            </w:tcMar>
          </w:tcPr>
          <w:p>
            <w:r>
              <w:rPr>
                <w:b/>
                <w:color w:val="334155"/>
              </w:rPr>
              <w:t>Research question</w:t>
              <w:br/>
            </w:r>
            <w:r>
              <w:t>What can responsibly be said about Jesus historically, and which claims about his identity remain theological?</w:t>
            </w:r>
          </w:p>
        </w:tc>
      </w:tr>
    </w:tbl>
    <w:p>
      <w:r>
        <w:t>Jesus of Nazareth is among the best-attested founders or central figures of antiquity in the sense that multiple early Christian sources preserve traditions about him and external ancient sources attest the movement and his execution context. Historical method can establish a first-century Jewish teacher, a movement, and crucifixion under Pontius Pilate with high confidence. It cannot, by itself, prove incarnation, divine sonship in an ontological sense, miracle causation, or resurrection as a metaphysical event.</w:t>
      </w:r>
    </w:p>
    <w:p>
      <w:pPr>
        <w:pStyle w:val="Heading2"/>
      </w:pPr>
      <w:r>
        <w:t>Witness map</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shd w:fill="334155"/>
            <w:vAlign w:val="center"/>
            <w:tcMar>
              <w:top w:w="80" w:type="dxa"/>
              <w:start w:w="90" w:type="dxa"/>
              <w:bottom w:w="80" w:type="dxa"/>
              <w:end w:w="90" w:type="dxa"/>
            </w:tcMar>
          </w:tcPr>
          <w:p>
            <w:r>
              <w:rPr>
                <w:b/>
                <w:color w:val="FFFFFF"/>
                <w:sz w:val="15"/>
              </w:rPr>
              <w:t>Witness</w:t>
            </w:r>
          </w:p>
        </w:tc>
        <w:tc>
          <w:tcPr>
            <w:tcW w:type="dxa" w:w="2880"/>
            <w:shd w:fill="334155"/>
            <w:vAlign w:val="center"/>
            <w:tcMar>
              <w:top w:w="80" w:type="dxa"/>
              <w:start w:w="90" w:type="dxa"/>
              <w:bottom w:w="80" w:type="dxa"/>
              <w:end w:w="90" w:type="dxa"/>
            </w:tcMar>
          </w:tcPr>
          <w:p>
            <w:r>
              <w:rPr>
                <w:b/>
                <w:color w:val="FFFFFF"/>
                <w:sz w:val="15"/>
              </w:rPr>
              <w:t>Source / corpus</w:t>
            </w:r>
          </w:p>
        </w:tc>
        <w:tc>
          <w:tcPr>
            <w:tcW w:type="dxa" w:w="4824"/>
            <w:shd w:fill="334155"/>
            <w:vAlign w:val="center"/>
            <w:tcMar>
              <w:top w:w="80" w:type="dxa"/>
              <w:start w:w="90" w:type="dxa"/>
              <w:bottom w:w="80" w:type="dxa"/>
              <w:end w:w="90" w:type="dxa"/>
            </w:tcMar>
          </w:tcPr>
          <w:p>
            <w:r>
              <w:rPr>
                <w:b/>
                <w:color w:val="FFFFFF"/>
                <w:sz w:val="15"/>
              </w:rPr>
              <w:t>Research use</w:t>
            </w:r>
          </w:p>
        </w:tc>
      </w:tr>
      <w:tr>
        <w:trPr>
          <w:cantSplit/>
        </w:trPr>
        <w:tc>
          <w:tcPr>
            <w:tcW w:type="dxa" w:w="2088"/>
            <w:vAlign w:val="top"/>
            <w:tcMar>
              <w:top w:w="80" w:type="dxa"/>
              <w:start w:w="90" w:type="dxa"/>
              <w:bottom w:w="80" w:type="dxa"/>
              <w:end w:w="90" w:type="dxa"/>
            </w:tcMar>
          </w:tcPr>
          <w:p>
            <w:pPr>
              <w:spacing w:after="30"/>
            </w:pPr>
            <w:r>
              <w:rPr>
                <w:sz w:val="15"/>
              </w:rPr>
              <w:t>Pauline letters</w:t>
            </w:r>
          </w:p>
        </w:tc>
        <w:tc>
          <w:tcPr>
            <w:tcW w:type="dxa" w:w="2880"/>
            <w:vAlign w:val="top"/>
            <w:tcMar>
              <w:top w:w="80" w:type="dxa"/>
              <w:start w:w="90" w:type="dxa"/>
              <w:bottom w:w="80" w:type="dxa"/>
              <w:end w:w="90" w:type="dxa"/>
            </w:tcMar>
          </w:tcPr>
          <w:p>
            <w:pPr>
              <w:spacing w:after="30"/>
            </w:pPr>
            <w:r>
              <w:rPr>
                <w:sz w:val="15"/>
              </w:rPr>
              <w:t>Earliest extant Christian writings</w:t>
            </w:r>
          </w:p>
        </w:tc>
        <w:tc>
          <w:tcPr>
            <w:tcW w:type="dxa" w:w="4824"/>
            <w:vAlign w:val="top"/>
            <w:tcMar>
              <w:top w:w="80" w:type="dxa"/>
              <w:start w:w="90" w:type="dxa"/>
              <w:bottom w:w="80" w:type="dxa"/>
              <w:end w:w="90" w:type="dxa"/>
            </w:tcMar>
          </w:tcPr>
          <w:p>
            <w:pPr>
              <w:spacing w:after="30"/>
            </w:pPr>
            <w:r>
              <w:rPr>
                <w:sz w:val="15"/>
              </w:rPr>
              <w:t>Show an already existing movement centered on the crucified and risen Jesus; not biographies.</w:t>
            </w:r>
          </w:p>
        </w:tc>
      </w:tr>
      <w:tr>
        <w:trPr>
          <w:cantSplit/>
        </w:trPr>
        <w:tc>
          <w:tcPr>
            <w:tcW w:type="dxa" w:w="2088"/>
            <w:vAlign w:val="top"/>
            <w:tcMar>
              <w:top w:w="80" w:type="dxa"/>
              <w:start w:w="90" w:type="dxa"/>
              <w:bottom w:w="80" w:type="dxa"/>
              <w:end w:w="90" w:type="dxa"/>
            </w:tcMar>
            <w:shd w:fill="F8FAFC"/>
          </w:tcPr>
          <w:p>
            <w:pPr>
              <w:spacing w:after="30"/>
            </w:pPr>
            <w:r>
              <w:rPr>
                <w:sz w:val="15"/>
              </w:rPr>
              <w:t>Synoptic Gospels</w:t>
            </w:r>
          </w:p>
        </w:tc>
        <w:tc>
          <w:tcPr>
            <w:tcW w:type="dxa" w:w="2880"/>
            <w:vAlign w:val="top"/>
            <w:tcMar>
              <w:top w:w="80" w:type="dxa"/>
              <w:start w:w="90" w:type="dxa"/>
              <w:bottom w:w="80" w:type="dxa"/>
              <w:end w:w="90" w:type="dxa"/>
            </w:tcMar>
            <w:shd w:fill="F8FAFC"/>
          </w:tcPr>
          <w:p>
            <w:pPr>
              <w:spacing w:after="30"/>
            </w:pPr>
            <w:r>
              <w:rPr>
                <w:sz w:val="15"/>
              </w:rPr>
              <w:t>Mark, Matthew, Luke</w:t>
            </w:r>
          </w:p>
        </w:tc>
        <w:tc>
          <w:tcPr>
            <w:tcW w:type="dxa" w:w="4824"/>
            <w:vAlign w:val="top"/>
            <w:tcMar>
              <w:top w:w="80" w:type="dxa"/>
              <w:start w:w="90" w:type="dxa"/>
              <w:bottom w:w="80" w:type="dxa"/>
              <w:end w:w="90" w:type="dxa"/>
            </w:tcMar>
            <w:shd w:fill="F8FAFC"/>
          </w:tcPr>
          <w:p>
            <w:pPr>
              <w:spacing w:after="30"/>
            </w:pPr>
            <w:r>
              <w:rPr>
                <w:sz w:val="15"/>
              </w:rPr>
              <w:t>Narrative/theological sources preserving earlier traditions; written decades after Jesus and requiring source criticism.</w:t>
            </w:r>
          </w:p>
        </w:tc>
      </w:tr>
      <w:tr>
        <w:trPr>
          <w:cantSplit/>
        </w:trPr>
        <w:tc>
          <w:tcPr>
            <w:tcW w:type="dxa" w:w="2088"/>
            <w:vAlign w:val="top"/>
            <w:tcMar>
              <w:top w:w="80" w:type="dxa"/>
              <w:start w:w="90" w:type="dxa"/>
              <w:bottom w:w="80" w:type="dxa"/>
              <w:end w:w="90" w:type="dxa"/>
            </w:tcMar>
          </w:tcPr>
          <w:p>
            <w:pPr>
              <w:spacing w:after="30"/>
            </w:pPr>
            <w:r>
              <w:rPr>
                <w:sz w:val="15"/>
              </w:rPr>
              <w:t>Gospel of John</w:t>
            </w:r>
          </w:p>
        </w:tc>
        <w:tc>
          <w:tcPr>
            <w:tcW w:type="dxa" w:w="2880"/>
            <w:vAlign w:val="top"/>
            <w:tcMar>
              <w:top w:w="80" w:type="dxa"/>
              <w:start w:w="90" w:type="dxa"/>
              <w:bottom w:w="80" w:type="dxa"/>
              <w:end w:w="90" w:type="dxa"/>
            </w:tcMar>
          </w:tcPr>
          <w:p>
            <w:pPr>
              <w:spacing w:after="30"/>
            </w:pPr>
            <w:r>
              <w:rPr>
                <w:sz w:val="15"/>
              </w:rPr>
              <w:t>Later canonical Gospel</w:t>
            </w:r>
          </w:p>
        </w:tc>
        <w:tc>
          <w:tcPr>
            <w:tcW w:type="dxa" w:w="4824"/>
            <w:vAlign w:val="top"/>
            <w:tcMar>
              <w:top w:w="80" w:type="dxa"/>
              <w:start w:w="90" w:type="dxa"/>
              <w:bottom w:w="80" w:type="dxa"/>
              <w:end w:w="90" w:type="dxa"/>
            </w:tcMar>
          </w:tcPr>
          <w:p>
            <w:pPr>
              <w:spacing w:after="30"/>
            </w:pPr>
            <w:r>
              <w:rPr>
                <w:sz w:val="15"/>
              </w:rPr>
              <w:t>Distinctive theological portrait; historically valuable but not interchangeable with Synoptic chronology or discourse.</w:t>
            </w:r>
          </w:p>
        </w:tc>
      </w:tr>
      <w:tr>
        <w:trPr>
          <w:cantSplit/>
        </w:trPr>
        <w:tc>
          <w:tcPr>
            <w:tcW w:type="dxa" w:w="2088"/>
            <w:vAlign w:val="top"/>
            <w:tcMar>
              <w:top w:w="80" w:type="dxa"/>
              <w:start w:w="90" w:type="dxa"/>
              <w:bottom w:w="80" w:type="dxa"/>
              <w:end w:w="90" w:type="dxa"/>
            </w:tcMar>
            <w:shd w:fill="F8FAFC"/>
          </w:tcPr>
          <w:p>
            <w:pPr>
              <w:spacing w:after="30"/>
            </w:pPr>
            <w:r>
              <w:rPr>
                <w:sz w:val="15"/>
              </w:rPr>
              <w:t>Josephus / Tacitus and Roman context</w:t>
            </w:r>
          </w:p>
        </w:tc>
        <w:tc>
          <w:tcPr>
            <w:tcW w:type="dxa" w:w="2880"/>
            <w:vAlign w:val="top"/>
            <w:tcMar>
              <w:top w:w="80" w:type="dxa"/>
              <w:start w:w="90" w:type="dxa"/>
              <w:bottom w:w="80" w:type="dxa"/>
              <w:end w:w="90" w:type="dxa"/>
            </w:tcMar>
            <w:shd w:fill="F8FAFC"/>
          </w:tcPr>
          <w:p>
            <w:pPr>
              <w:spacing w:after="30"/>
            </w:pPr>
            <w:r>
              <w:rPr>
                <w:sz w:val="15"/>
              </w:rPr>
              <w:t>External ancient witnesses</w:t>
            </w:r>
          </w:p>
        </w:tc>
        <w:tc>
          <w:tcPr>
            <w:tcW w:type="dxa" w:w="4824"/>
            <w:vAlign w:val="top"/>
            <w:tcMar>
              <w:top w:w="80" w:type="dxa"/>
              <w:start w:w="90" w:type="dxa"/>
              <w:bottom w:w="80" w:type="dxa"/>
              <w:end w:w="90" w:type="dxa"/>
            </w:tcMar>
            <w:shd w:fill="F8FAFC"/>
          </w:tcPr>
          <w:p>
            <w:pPr>
              <w:spacing w:after="30"/>
            </w:pPr>
            <w:r>
              <w:rPr>
                <w:sz w:val="15"/>
              </w:rPr>
              <w:t>Support the existence of Jesus/Christians and Roman execution context; details and textual issues vary by source.</w:t>
            </w:r>
          </w:p>
        </w:tc>
      </w:tr>
      <w:tr>
        <w:trPr>
          <w:cantSplit/>
        </w:trPr>
        <w:tc>
          <w:tcPr>
            <w:tcW w:type="dxa" w:w="2088"/>
            <w:vAlign w:val="top"/>
            <w:tcMar>
              <w:top w:w="80" w:type="dxa"/>
              <w:start w:w="90" w:type="dxa"/>
              <w:bottom w:w="80" w:type="dxa"/>
              <w:end w:w="90" w:type="dxa"/>
            </w:tcMar>
          </w:tcPr>
          <w:p>
            <w:pPr>
              <w:spacing w:after="30"/>
            </w:pPr>
            <w:r>
              <w:rPr>
                <w:sz w:val="15"/>
              </w:rPr>
              <w:t>Qur'anic Jesus</w:t>
            </w:r>
          </w:p>
        </w:tc>
        <w:tc>
          <w:tcPr>
            <w:tcW w:type="dxa" w:w="2880"/>
            <w:vAlign w:val="top"/>
            <w:tcMar>
              <w:top w:w="80" w:type="dxa"/>
              <w:start w:w="90" w:type="dxa"/>
              <w:bottom w:w="80" w:type="dxa"/>
              <w:end w:w="90" w:type="dxa"/>
            </w:tcMar>
          </w:tcPr>
          <w:p>
            <w:pPr>
              <w:spacing w:after="30"/>
            </w:pPr>
            <w:r>
              <w:rPr>
                <w:sz w:val="15"/>
              </w:rPr>
              <w:t>Qur'an 4:171; 5:72-75 and related passages</w:t>
            </w:r>
          </w:p>
        </w:tc>
        <w:tc>
          <w:tcPr>
            <w:tcW w:type="dxa" w:w="4824"/>
            <w:vAlign w:val="top"/>
            <w:tcMar>
              <w:top w:w="80" w:type="dxa"/>
              <w:start w:w="90" w:type="dxa"/>
              <w:bottom w:w="80" w:type="dxa"/>
              <w:end w:w="90" w:type="dxa"/>
            </w:tcMar>
          </w:tcPr>
          <w:p>
            <w:pPr>
              <w:spacing w:after="30"/>
            </w:pPr>
            <w:r>
              <w:rPr>
                <w:sz w:val="15"/>
              </w:rPr>
              <w:t>Affirms Jesus as Messiah/messenger while rejecting identification with God and later Islamic interpretation disputes crucifixion.</w:t>
            </w:r>
          </w:p>
        </w:tc>
      </w:tr>
    </w:tbl>
    <w:p>
      <w:pPr>
        <w:pStyle w:val="Heading2"/>
      </w:pPr>
      <w:r>
        <w:t>Findings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4968"/>
            <w:shd w:fill="334155"/>
            <w:vAlign w:val="center"/>
            <w:tcMar>
              <w:top w:w="80" w:type="dxa"/>
              <w:start w:w="90" w:type="dxa"/>
              <w:bottom w:w="80" w:type="dxa"/>
              <w:end w:w="90" w:type="dxa"/>
            </w:tcMar>
          </w:tcPr>
          <w:p>
            <w:r>
              <w:rPr>
                <w:b/>
                <w:color w:val="FFFFFF"/>
                <w:sz w:val="15"/>
              </w:rPr>
              <w:t>Claim</w:t>
            </w:r>
          </w:p>
        </w:tc>
        <w:tc>
          <w:tcPr>
            <w:tcW w:type="dxa" w:w="1728"/>
            <w:shd w:fill="334155"/>
            <w:vAlign w:val="center"/>
            <w:tcMar>
              <w:top w:w="80" w:type="dxa"/>
              <w:start w:w="90" w:type="dxa"/>
              <w:bottom w:w="80" w:type="dxa"/>
              <w:end w:w="90" w:type="dxa"/>
            </w:tcMar>
          </w:tcPr>
          <w:p>
            <w:r>
              <w:rPr>
                <w:b/>
                <w:color w:val="FFFFFF"/>
                <w:sz w:val="15"/>
              </w:rPr>
              <w:t>Confidence</w:t>
            </w:r>
          </w:p>
        </w:tc>
        <w:tc>
          <w:tcPr>
            <w:tcW w:type="dxa" w:w="3096"/>
            <w:shd w:fill="334155"/>
            <w:vAlign w:val="center"/>
            <w:tcMar>
              <w:top w:w="80" w:type="dxa"/>
              <w:start w:w="90" w:type="dxa"/>
              <w:bottom w:w="80" w:type="dxa"/>
              <w:end w:w="90" w:type="dxa"/>
            </w:tcMar>
          </w:tcPr>
          <w:p>
            <w:r>
              <w:rPr>
                <w:b/>
                <w:color w:val="FFFFFF"/>
                <w:sz w:val="15"/>
              </w:rPr>
              <w:t>Research note</w:t>
            </w:r>
          </w:p>
        </w:tc>
      </w:tr>
      <w:tr>
        <w:trPr>
          <w:cantSplit/>
        </w:trPr>
        <w:tc>
          <w:tcPr>
            <w:tcW w:type="dxa" w:w="4968"/>
            <w:vAlign w:val="top"/>
            <w:tcMar>
              <w:top w:w="80" w:type="dxa"/>
              <w:start w:w="90" w:type="dxa"/>
              <w:bottom w:w="80" w:type="dxa"/>
              <w:end w:w="90" w:type="dxa"/>
            </w:tcMar>
          </w:tcPr>
          <w:p>
            <w:pPr>
              <w:spacing w:after="30"/>
            </w:pPr>
            <w:r>
              <w:rPr>
                <w:sz w:val="15"/>
              </w:rPr>
              <w:t>Jesus was a first-century Jewish figure associated with Galilee/Judaea who attracted followers.</w:t>
            </w:r>
          </w:p>
        </w:tc>
        <w:tc>
          <w:tcPr>
            <w:tcW w:type="dxa" w:w="1728"/>
            <w:vAlign w:val="top"/>
            <w:tcMar>
              <w:top w:w="80" w:type="dxa"/>
              <w:start w:w="90" w:type="dxa"/>
              <w:bottom w:w="80" w:type="dxa"/>
              <w:end w:w="90" w:type="dxa"/>
            </w:tcMar>
          </w:tcPr>
          <w:p>
            <w:pPr>
              <w:spacing w:after="30"/>
            </w:pPr>
            <w:r>
              <w:rPr>
                <w:sz w:val="15"/>
              </w:rPr>
              <w:t>Established</w:t>
            </w:r>
          </w:p>
        </w:tc>
        <w:tc>
          <w:tcPr>
            <w:tcW w:type="dxa" w:w="3096"/>
            <w:vAlign w:val="top"/>
            <w:tcMar>
              <w:top w:w="80" w:type="dxa"/>
              <w:start w:w="90" w:type="dxa"/>
              <w:bottom w:w="80" w:type="dxa"/>
              <w:end w:w="90" w:type="dxa"/>
            </w:tcMar>
          </w:tcPr>
          <w:p>
            <w:pPr>
              <w:spacing w:after="30"/>
            </w:pPr>
            <w:r>
              <w:rPr>
                <w:sz w:val="15"/>
              </w:rPr>
              <w:t>Mainstream historical conclusion.</w:t>
            </w:r>
          </w:p>
        </w:tc>
      </w:tr>
      <w:tr>
        <w:trPr>
          <w:cantSplit/>
        </w:trPr>
        <w:tc>
          <w:tcPr>
            <w:tcW w:type="dxa" w:w="4968"/>
            <w:vAlign w:val="top"/>
            <w:tcMar>
              <w:top w:w="80" w:type="dxa"/>
              <w:start w:w="90" w:type="dxa"/>
              <w:bottom w:w="80" w:type="dxa"/>
              <w:end w:w="90" w:type="dxa"/>
            </w:tcMar>
            <w:shd w:fill="F8FAFC"/>
          </w:tcPr>
          <w:p>
            <w:pPr>
              <w:spacing w:after="30"/>
            </w:pPr>
            <w:r>
              <w:rPr>
                <w:sz w:val="15"/>
              </w:rPr>
              <w:t>Jesus was crucified under Pontius Pilate.</w:t>
            </w:r>
          </w:p>
        </w:tc>
        <w:tc>
          <w:tcPr>
            <w:tcW w:type="dxa" w:w="1728"/>
            <w:vAlign w:val="top"/>
            <w:tcMar>
              <w:top w:w="80" w:type="dxa"/>
              <w:start w:w="90" w:type="dxa"/>
              <w:bottom w:w="80" w:type="dxa"/>
              <w:end w:w="90" w:type="dxa"/>
            </w:tcMar>
            <w:shd w:fill="F8FAFC"/>
          </w:tcPr>
          <w:p>
            <w:pPr>
              <w:spacing w:after="30"/>
            </w:pPr>
            <w:r>
              <w:rPr>
                <w:sz w:val="15"/>
              </w:rPr>
              <w:t>Established</w:t>
            </w:r>
          </w:p>
        </w:tc>
        <w:tc>
          <w:tcPr>
            <w:tcW w:type="dxa" w:w="3096"/>
            <w:vAlign w:val="top"/>
            <w:tcMar>
              <w:top w:w="80" w:type="dxa"/>
              <w:start w:w="90" w:type="dxa"/>
              <w:bottom w:w="80" w:type="dxa"/>
              <w:end w:w="90" w:type="dxa"/>
            </w:tcMar>
            <w:shd w:fill="F8FAFC"/>
          </w:tcPr>
          <w:p>
            <w:pPr>
              <w:spacing w:after="30"/>
            </w:pPr>
            <w:r>
              <w:rPr>
                <w:sz w:val="15"/>
              </w:rPr>
              <w:t>Oxford scholarship describes this as nearly universally accepted / among the strongest historical points.</w:t>
            </w:r>
          </w:p>
        </w:tc>
      </w:tr>
      <w:tr>
        <w:trPr>
          <w:cantSplit/>
        </w:trPr>
        <w:tc>
          <w:tcPr>
            <w:tcW w:type="dxa" w:w="4968"/>
            <w:vAlign w:val="top"/>
            <w:tcMar>
              <w:top w:w="80" w:type="dxa"/>
              <w:start w:w="90" w:type="dxa"/>
              <w:bottom w:w="80" w:type="dxa"/>
              <w:end w:w="90" w:type="dxa"/>
            </w:tcMar>
          </w:tcPr>
          <w:p>
            <w:pPr>
              <w:spacing w:after="30"/>
            </w:pPr>
            <w:r>
              <w:rPr>
                <w:sz w:val="15"/>
              </w:rPr>
              <w:t>The Gospels are literary and theological texts as well as historical sources and must be read accordingly.</w:t>
            </w:r>
          </w:p>
        </w:tc>
        <w:tc>
          <w:tcPr>
            <w:tcW w:type="dxa" w:w="1728"/>
            <w:vAlign w:val="top"/>
            <w:tcMar>
              <w:top w:w="80" w:type="dxa"/>
              <w:start w:w="90" w:type="dxa"/>
              <w:bottom w:w="80" w:type="dxa"/>
              <w:end w:w="90" w:type="dxa"/>
            </w:tcMar>
          </w:tcPr>
          <w:p>
            <w:pPr>
              <w:spacing w:after="30"/>
            </w:pPr>
            <w:r>
              <w:rPr>
                <w:sz w:val="15"/>
              </w:rPr>
              <w:t>Established</w:t>
            </w:r>
          </w:p>
        </w:tc>
        <w:tc>
          <w:tcPr>
            <w:tcW w:type="dxa" w:w="3096"/>
            <w:vAlign w:val="top"/>
            <w:tcMar>
              <w:top w:w="80" w:type="dxa"/>
              <w:start w:w="90" w:type="dxa"/>
              <w:bottom w:w="80" w:type="dxa"/>
              <w:end w:w="90" w:type="dxa"/>
            </w:tcMar>
          </w:tcPr>
          <w:p>
            <w:pPr>
              <w:spacing w:after="30"/>
            </w:pPr>
            <w:r>
              <w:rPr>
                <w:sz w:val="15"/>
              </w:rPr>
              <w:t>Their theological aims neither erase nor automatically validate historical content.</w:t>
            </w:r>
          </w:p>
        </w:tc>
      </w:tr>
      <w:tr>
        <w:trPr>
          <w:cantSplit/>
        </w:trPr>
        <w:tc>
          <w:tcPr>
            <w:tcW w:type="dxa" w:w="4968"/>
            <w:vAlign w:val="top"/>
            <w:tcMar>
              <w:top w:w="80" w:type="dxa"/>
              <w:start w:w="90" w:type="dxa"/>
              <w:bottom w:w="80" w:type="dxa"/>
              <w:end w:w="90" w:type="dxa"/>
            </w:tcMar>
            <w:shd w:fill="F8FAFC"/>
          </w:tcPr>
          <w:p>
            <w:pPr>
              <w:spacing w:after="30"/>
            </w:pPr>
            <w:r>
              <w:rPr>
                <w:sz w:val="15"/>
              </w:rPr>
              <w:t>Jesus preached about God/kingdom and ethical/religious transformation.</w:t>
            </w:r>
          </w:p>
        </w:tc>
        <w:tc>
          <w:tcPr>
            <w:tcW w:type="dxa" w:w="1728"/>
            <w:vAlign w:val="top"/>
            <w:tcMar>
              <w:top w:w="80" w:type="dxa"/>
              <w:start w:w="90" w:type="dxa"/>
              <w:bottom w:w="80" w:type="dxa"/>
              <w:end w:w="90" w:type="dxa"/>
            </w:tcMar>
            <w:shd w:fill="F8FAFC"/>
          </w:tcPr>
          <w:p>
            <w:pPr>
              <w:spacing w:after="30"/>
            </w:pPr>
            <w:r>
              <w:rPr>
                <w:sz w:val="15"/>
              </w:rPr>
              <w:t>Well-Supported</w:t>
            </w:r>
          </w:p>
        </w:tc>
        <w:tc>
          <w:tcPr>
            <w:tcW w:type="dxa" w:w="3096"/>
            <w:vAlign w:val="top"/>
            <w:tcMar>
              <w:top w:w="80" w:type="dxa"/>
              <w:start w:w="90" w:type="dxa"/>
              <w:bottom w:w="80" w:type="dxa"/>
              <w:end w:w="90" w:type="dxa"/>
            </w:tcMar>
            <w:shd w:fill="F8FAFC"/>
          </w:tcPr>
          <w:p>
            <w:pPr>
              <w:spacing w:after="30"/>
            </w:pPr>
            <w:r>
              <w:rPr>
                <w:sz w:val="15"/>
              </w:rPr>
              <w:t>Exact wording and scope of individual sayings vary in confidence.</w:t>
            </w:r>
          </w:p>
        </w:tc>
      </w:tr>
      <w:tr>
        <w:trPr>
          <w:cantSplit/>
        </w:trPr>
        <w:tc>
          <w:tcPr>
            <w:tcW w:type="dxa" w:w="4968"/>
            <w:vAlign w:val="top"/>
            <w:tcMar>
              <w:top w:w="80" w:type="dxa"/>
              <w:start w:w="90" w:type="dxa"/>
              <w:bottom w:w="80" w:type="dxa"/>
              <w:end w:w="90" w:type="dxa"/>
            </w:tcMar>
          </w:tcPr>
          <w:p>
            <w:pPr>
              <w:spacing w:after="30"/>
            </w:pPr>
            <w:r>
              <w:rPr>
                <w:sz w:val="15"/>
              </w:rPr>
              <w:t>Jesus explicitly claimed ontological identity with God in the later creedal sense.</w:t>
            </w:r>
          </w:p>
        </w:tc>
        <w:tc>
          <w:tcPr>
            <w:tcW w:type="dxa" w:w="1728"/>
            <w:vAlign w:val="top"/>
            <w:tcMar>
              <w:top w:w="80" w:type="dxa"/>
              <w:start w:w="90" w:type="dxa"/>
              <w:bottom w:w="80" w:type="dxa"/>
              <w:end w:w="90" w:type="dxa"/>
            </w:tcMar>
          </w:tcPr>
          <w:p>
            <w:pPr>
              <w:spacing w:after="30"/>
            </w:pPr>
            <w:r>
              <w:rPr>
                <w:sz w:val="15"/>
              </w:rPr>
              <w:t>Open Question - Historical/Theological</w:t>
            </w:r>
          </w:p>
        </w:tc>
        <w:tc>
          <w:tcPr>
            <w:tcW w:type="dxa" w:w="3096"/>
            <w:vAlign w:val="top"/>
            <w:tcMar>
              <w:top w:w="80" w:type="dxa"/>
              <w:start w:w="90" w:type="dxa"/>
              <w:bottom w:w="80" w:type="dxa"/>
              <w:end w:w="90" w:type="dxa"/>
            </w:tcMar>
          </w:tcPr>
          <w:p>
            <w:pPr>
              <w:spacing w:after="30"/>
            </w:pPr>
            <w:r>
              <w:rPr>
                <w:sz w:val="15"/>
              </w:rPr>
              <w:t>The sources and interpretation are contested; historical method cannot simply assume later creeds.</w:t>
            </w:r>
          </w:p>
        </w:tc>
      </w:tr>
      <w:tr>
        <w:trPr>
          <w:cantSplit/>
        </w:trPr>
        <w:tc>
          <w:tcPr>
            <w:tcW w:type="dxa" w:w="4968"/>
            <w:vAlign w:val="top"/>
            <w:tcMar>
              <w:top w:w="80" w:type="dxa"/>
              <w:start w:w="90" w:type="dxa"/>
              <w:bottom w:w="80" w:type="dxa"/>
              <w:end w:w="90" w:type="dxa"/>
            </w:tcMar>
            <w:shd w:fill="F8FAFC"/>
          </w:tcPr>
          <w:p>
            <w:pPr>
              <w:spacing w:after="30"/>
            </w:pPr>
            <w:r>
              <w:rPr>
                <w:sz w:val="15"/>
              </w:rPr>
              <w:t>Followers very early proclaimed that Jesus had been raised and continued to encounter him as alive.</w:t>
            </w:r>
          </w:p>
        </w:tc>
        <w:tc>
          <w:tcPr>
            <w:tcW w:type="dxa" w:w="1728"/>
            <w:vAlign w:val="top"/>
            <w:tcMar>
              <w:top w:w="80" w:type="dxa"/>
              <w:start w:w="90" w:type="dxa"/>
              <w:bottom w:w="80" w:type="dxa"/>
              <w:end w:w="90" w:type="dxa"/>
            </w:tcMar>
            <w:shd w:fill="F8FAFC"/>
          </w:tcPr>
          <w:p>
            <w:pPr>
              <w:spacing w:after="30"/>
            </w:pPr>
            <w:r>
              <w:rPr>
                <w:sz w:val="15"/>
              </w:rPr>
              <w:t>Established as claim-history</w:t>
            </w:r>
          </w:p>
        </w:tc>
        <w:tc>
          <w:tcPr>
            <w:tcW w:type="dxa" w:w="3096"/>
            <w:vAlign w:val="top"/>
            <w:tcMar>
              <w:top w:w="80" w:type="dxa"/>
              <w:start w:w="90" w:type="dxa"/>
              <w:bottom w:w="80" w:type="dxa"/>
              <w:end w:w="90" w:type="dxa"/>
            </w:tcMar>
            <w:shd w:fill="F8FAFC"/>
          </w:tcPr>
          <w:p>
            <w:pPr>
              <w:spacing w:after="30"/>
            </w:pPr>
            <w:r>
              <w:rPr>
                <w:sz w:val="15"/>
              </w:rPr>
              <w:t>What caused those experiences and whether resurrection occurred metaphysically remain separate questions.</w:t>
            </w:r>
          </w:p>
        </w:tc>
      </w:tr>
      <w:tr>
        <w:trPr>
          <w:cantSplit/>
        </w:trPr>
        <w:tc>
          <w:tcPr>
            <w:tcW w:type="dxa" w:w="4968"/>
            <w:vAlign w:val="top"/>
            <w:tcMar>
              <w:top w:w="80" w:type="dxa"/>
              <w:start w:w="90" w:type="dxa"/>
              <w:bottom w:w="80" w:type="dxa"/>
              <w:end w:w="90" w:type="dxa"/>
            </w:tcMar>
          </w:tcPr>
          <w:p>
            <w:pPr>
              <w:spacing w:after="30"/>
            </w:pPr>
            <w:r>
              <w:rPr>
                <w:sz w:val="15"/>
              </w:rPr>
              <w:t>Jesus' resurrection as a divine transformation of the dead.</w:t>
            </w:r>
          </w:p>
        </w:tc>
        <w:tc>
          <w:tcPr>
            <w:tcW w:type="dxa" w:w="1728"/>
            <w:vAlign w:val="top"/>
            <w:tcMar>
              <w:top w:w="80" w:type="dxa"/>
              <w:start w:w="90" w:type="dxa"/>
              <w:bottom w:w="80" w:type="dxa"/>
              <w:end w:w="90" w:type="dxa"/>
            </w:tcMar>
          </w:tcPr>
          <w:p>
            <w:pPr>
              <w:spacing w:after="30"/>
            </w:pPr>
            <w:r>
              <w:rPr>
                <w:sz w:val="15"/>
              </w:rPr>
              <w:t>Open Question - Metaphysical/Theological</w:t>
            </w:r>
          </w:p>
        </w:tc>
        <w:tc>
          <w:tcPr>
            <w:tcW w:type="dxa" w:w="3096"/>
            <w:vAlign w:val="top"/>
            <w:tcMar>
              <w:top w:w="80" w:type="dxa"/>
              <w:start w:w="90" w:type="dxa"/>
              <w:bottom w:w="80" w:type="dxa"/>
              <w:end w:w="90" w:type="dxa"/>
            </w:tcMar>
          </w:tcPr>
          <w:p>
            <w:pPr>
              <w:spacing w:after="30"/>
            </w:pPr>
            <w:r>
              <w:rPr>
                <w:sz w:val="15"/>
              </w:rPr>
              <w:t>Historical evidence can establish belief/claims more readily than supernatural causation.</w:t>
            </w:r>
          </w:p>
        </w:tc>
      </w:tr>
    </w:tbl>
    <w:p>
      <w:pPr>
        <w:pStyle w:val="Heading2"/>
      </w:pPr>
      <w:r>
        <w:t>Major interpretations still in view</w:t>
      </w:r>
    </w:p>
    <w:p>
      <w:r>
        <w:rPr>
          <w:b/>
        </w:rPr>
        <w:t xml:space="preserve">Jewish prophetic / eschatological teacher: </w:t>
      </w:r>
      <w:r>
        <w:t>Jesus as Jewish teacher announcing God's reign and calling for repentance and transformed life.</w:t>
      </w:r>
    </w:p>
    <w:p>
      <w:r>
        <w:rPr>
          <w:b/>
        </w:rPr>
        <w:t xml:space="preserve">Messianic claimant or messianically interpreted figure: </w:t>
      </w:r>
      <w:r>
        <w:t>Scholars debate how Jesus understood messiahship versus how followers came to interpret him.</w:t>
      </w:r>
    </w:p>
    <w:p>
      <w:r>
        <w:rPr>
          <w:b/>
        </w:rPr>
        <w:t xml:space="preserve">Incarnate divine Son: </w:t>
      </w:r>
      <w:r>
        <w:t>Classical Christian doctrine; a theological claim that goes beyond what historical method alone can establish.</w:t>
      </w:r>
    </w:p>
    <w:p>
      <w:r>
        <w:rPr>
          <w:b/>
        </w:rPr>
        <w:t xml:space="preserve">Islamic Messiah and messenger: </w:t>
      </w:r>
      <w:r>
        <w:t>Qur'anic and Islamic framework honors Jesus but rejects divine identity and commonly interprets crucifixion differently.</w:t>
      </w:r>
    </w:p>
    <w:p>
      <w:r>
        <w:rPr>
          <w:b/>
        </w:rPr>
        <w:t xml:space="preserve">Nonreligious historical interpretations: </w:t>
      </w:r>
      <w:r>
        <w:t>Charismatic teacher, apocalyptic prophet, reformer, wisdom teacher, or combinations.</w:t>
      </w:r>
    </w:p>
    <w:p>
      <w:pPr>
        <w:pStyle w:val="Heading2"/>
      </w:pPr>
      <w:r>
        <w:t>Current Way posture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800"/>
            <w:shd w:fill="334155"/>
            <w:vAlign w:val="center"/>
            <w:tcMar>
              <w:top w:w="80" w:type="dxa"/>
              <w:start w:w="90" w:type="dxa"/>
              <w:bottom w:w="80" w:type="dxa"/>
              <w:end w:w="90" w:type="dxa"/>
            </w:tcMar>
          </w:tcPr>
          <w:p>
            <w:r>
              <w:rPr>
                <w:b/>
                <w:color w:val="FFFFFF"/>
                <w:sz w:val="16"/>
              </w:rPr>
              <w:t>Status</w:t>
            </w:r>
          </w:p>
        </w:tc>
        <w:tc>
          <w:tcPr>
            <w:tcW w:type="dxa" w:w="7992"/>
            <w:shd w:fill="334155"/>
            <w:vAlign w:val="center"/>
            <w:tcMar>
              <w:top w:w="80" w:type="dxa"/>
              <w:start w:w="90" w:type="dxa"/>
              <w:bottom w:w="80" w:type="dxa"/>
              <w:end w:w="90" w:type="dxa"/>
            </w:tcMar>
          </w:tcPr>
          <w:p>
            <w:r>
              <w:rPr>
                <w:b/>
                <w:color w:val="FFFFFF"/>
                <w:sz w:val="16"/>
              </w:rPr>
              <w:t>Current posture</w:t>
            </w:r>
          </w:p>
        </w:tc>
      </w:tr>
      <w:tr>
        <w:trPr>
          <w:cantSplit/>
        </w:trPr>
        <w:tc>
          <w:tcPr>
            <w:tcW w:type="dxa" w:w="1800"/>
            <w:vAlign w:val="top"/>
            <w:tcMar>
              <w:top w:w="80" w:type="dxa"/>
              <w:start w:w="90" w:type="dxa"/>
              <w:bottom w:w="80" w:type="dxa"/>
              <w:end w:w="90" w:type="dxa"/>
            </w:tcMar>
          </w:tcPr>
          <w:p>
            <w:pPr>
              <w:spacing w:after="30"/>
            </w:pPr>
            <w:r>
              <w:rPr>
                <w:sz w:val="16"/>
              </w:rPr>
              <w:t>Established</w:t>
            </w:r>
          </w:p>
        </w:tc>
        <w:tc>
          <w:tcPr>
            <w:tcW w:type="dxa" w:w="7992"/>
            <w:vAlign w:val="top"/>
            <w:tcMar>
              <w:top w:w="80" w:type="dxa"/>
              <w:start w:w="90" w:type="dxa"/>
              <w:bottom w:w="80" w:type="dxa"/>
              <w:end w:w="90" w:type="dxa"/>
            </w:tcMar>
          </w:tcPr>
          <w:p>
            <w:pPr>
              <w:spacing w:after="30"/>
            </w:pPr>
            <w:r>
              <w:rPr>
                <w:sz w:val="16"/>
              </w:rPr>
              <w:t>Jesus is a central witness in the Library of Witnesses and indispensable to study of the Way.</w:t>
            </w:r>
          </w:p>
        </w:tc>
      </w:tr>
      <w:tr>
        <w:trPr>
          <w:cantSplit/>
        </w:trPr>
        <w:tc>
          <w:tcPr>
            <w:tcW w:type="dxa" w:w="1800"/>
            <w:vAlign w:val="top"/>
            <w:tcMar>
              <w:top w:w="80" w:type="dxa"/>
              <w:start w:w="90" w:type="dxa"/>
              <w:bottom w:w="80" w:type="dxa"/>
              <w:end w:w="90" w:type="dxa"/>
            </w:tcMar>
            <w:shd w:fill="F8FAFC"/>
          </w:tcPr>
          <w:p>
            <w:pPr>
              <w:spacing w:after="30"/>
            </w:pPr>
            <w:r>
              <w:rPr>
                <w:sz w:val="16"/>
              </w:rPr>
              <w:t>Established</w:t>
            </w:r>
          </w:p>
        </w:tc>
        <w:tc>
          <w:tcPr>
            <w:tcW w:type="dxa" w:w="7992"/>
            <w:vAlign w:val="top"/>
            <w:tcMar>
              <w:top w:w="80" w:type="dxa"/>
              <w:start w:w="90" w:type="dxa"/>
              <w:bottom w:w="80" w:type="dxa"/>
              <w:end w:w="90" w:type="dxa"/>
            </w:tcMar>
            <w:shd w:fill="F8FAFC"/>
          </w:tcPr>
          <w:p>
            <w:pPr>
              <w:spacing w:after="30"/>
            </w:pPr>
            <w:r>
              <w:rPr>
                <w:sz w:val="16"/>
              </w:rPr>
              <w:t>His crucifixion under Pilate is taught as history.</w:t>
            </w:r>
          </w:p>
        </w:tc>
      </w:tr>
      <w:tr>
        <w:trPr>
          <w:cantSplit/>
        </w:trPr>
        <w:tc>
          <w:tcPr>
            <w:tcW w:type="dxa" w:w="1800"/>
            <w:vAlign w:val="top"/>
            <w:tcMar>
              <w:top w:w="80" w:type="dxa"/>
              <w:start w:w="90" w:type="dxa"/>
              <w:bottom w:w="80" w:type="dxa"/>
              <w:end w:w="90" w:type="dxa"/>
            </w:tcMar>
          </w:tcPr>
          <w:p>
            <w:pPr>
              <w:spacing w:after="30"/>
            </w:pPr>
            <w:r>
              <w:rPr>
                <w:sz w:val="16"/>
              </w:rPr>
              <w:t>Well-Supported</w:t>
            </w:r>
          </w:p>
        </w:tc>
        <w:tc>
          <w:tcPr>
            <w:tcW w:type="dxa" w:w="7992"/>
            <w:vAlign w:val="top"/>
            <w:tcMar>
              <w:top w:w="80" w:type="dxa"/>
              <w:start w:w="90" w:type="dxa"/>
              <w:bottom w:w="80" w:type="dxa"/>
              <w:end w:w="90" w:type="dxa"/>
            </w:tcMar>
          </w:tcPr>
          <w:p>
            <w:pPr>
              <w:spacing w:after="30"/>
            </w:pPr>
            <w:r>
              <w:rPr>
                <w:sz w:val="16"/>
              </w:rPr>
              <w:t>His teachings concerning God, neighbor, mercy, repentance, service, and moral transformation are major formation sources, with source-critical confidence noted passage by passage.</w:t>
            </w:r>
          </w:p>
        </w:tc>
      </w:tr>
      <w:tr>
        <w:trPr>
          <w:cantSplit/>
        </w:trPr>
        <w:tc>
          <w:tcPr>
            <w:tcW w:type="dxa" w:w="1800"/>
            <w:vAlign w:val="top"/>
            <w:tcMar>
              <w:top w:w="80" w:type="dxa"/>
              <w:start w:w="90" w:type="dxa"/>
              <w:bottom w:w="80" w:type="dxa"/>
              <w:end w:w="90" w:type="dxa"/>
            </w:tcMar>
            <w:shd w:fill="F8FAFC"/>
          </w:tcPr>
          <w:p>
            <w:pPr>
              <w:spacing w:after="30"/>
            </w:pPr>
            <w:r>
              <w:rPr>
                <w:sz w:val="16"/>
              </w:rPr>
              <w:t>Open Question</w:t>
            </w:r>
          </w:p>
        </w:tc>
        <w:tc>
          <w:tcPr>
            <w:tcW w:type="dxa" w:w="7992"/>
            <w:vAlign w:val="top"/>
            <w:tcMar>
              <w:top w:w="80" w:type="dxa"/>
              <w:start w:w="90" w:type="dxa"/>
              <w:bottom w:w="80" w:type="dxa"/>
              <w:end w:w="90" w:type="dxa"/>
            </w:tcMar>
            <w:shd w:fill="F8FAFC"/>
          </w:tcPr>
          <w:p>
            <w:pPr>
              <w:spacing w:after="30"/>
            </w:pPr>
            <w:r>
              <w:rPr>
                <w:sz w:val="16"/>
              </w:rPr>
              <w:t>Incarnation, Trinity, pre-existence, atonement mechanisms, miracle causation, empty-tomb details, and resurrection metaphysics are not yet Assembly doctrine.</w:t>
            </w:r>
          </w:p>
        </w:tc>
      </w:tr>
      <w:tr>
        <w:trPr>
          <w:cantSplit/>
        </w:trPr>
        <w:tc>
          <w:tcPr>
            <w:tcW w:type="dxa" w:w="1800"/>
            <w:vAlign w:val="top"/>
            <w:tcMar>
              <w:top w:w="80" w:type="dxa"/>
              <w:start w:w="90" w:type="dxa"/>
              <w:bottom w:w="80" w:type="dxa"/>
              <w:end w:w="90" w:type="dxa"/>
            </w:tcMar>
          </w:tcPr>
          <w:p>
            <w:pPr>
              <w:spacing w:after="30"/>
            </w:pPr>
            <w:r>
              <w:rPr>
                <w:sz w:val="16"/>
              </w:rPr>
              <w:t>Safeguard</w:t>
            </w:r>
          </w:p>
        </w:tc>
        <w:tc>
          <w:tcPr>
            <w:tcW w:type="dxa" w:w="7992"/>
            <w:vAlign w:val="top"/>
            <w:tcMar>
              <w:top w:w="80" w:type="dxa"/>
              <w:start w:w="90" w:type="dxa"/>
              <w:bottom w:w="80" w:type="dxa"/>
              <w:end w:w="90" w:type="dxa"/>
            </w:tcMar>
          </w:tcPr>
          <w:p>
            <w:pPr>
              <w:spacing w:after="30"/>
            </w:pPr>
            <w:r>
              <w:rPr>
                <w:sz w:val="16"/>
              </w:rPr>
              <w:t>Questioning a Christological interpretation is not grounds for retaliation or exclusion from ordinary public gatherings.</w:t>
            </w:r>
          </w:p>
        </w:tc>
      </w:tr>
    </w:tbl>
    <w:p>
      <w:pPr>
        <w:pStyle w:val="Heading2"/>
      </w:pPr>
      <w:r>
        <w:t>What would materially change confidence?</w:t>
      </w:r>
    </w:p>
    <w:p>
      <w:pPr>
        <w:pStyle w:val="ListBullet"/>
      </w:pPr>
      <w:r>
        <w:t>Earlier independent sources materially changing the source map.</w:t>
      </w:r>
    </w:p>
    <w:p>
      <w:pPr>
        <w:pStyle w:val="ListBullet"/>
      </w:pPr>
      <w:r>
        <w:t>New manuscript or archaeological evidence bearing directly on disputed sayings/events.</w:t>
      </w:r>
    </w:p>
    <w:p>
      <w:pPr>
        <w:pStyle w:val="ListBullet"/>
      </w:pPr>
      <w:r>
        <w:t>Better historical models of post-crucifixion experiences that explain the rise of resurrection belief.</w:t>
      </w:r>
    </w:p>
    <w:p>
      <w:pPr>
        <w:pStyle w:val="ListBullet"/>
      </w:pPr>
      <w:r>
        <w:t>Philosophical/theological arguments showing that one Christological model best integrates the historical and experiential evidence.</w:t>
      </w:r>
    </w:p>
    <w:p>
      <w:pPr>
        <w:pStyle w:val="Heading2"/>
      </w:pPr>
      <w:r>
        <w:t>Next research questions</w:t>
      </w:r>
    </w:p>
    <w:p>
      <w:pPr>
        <w:pStyle w:val="ListBullet"/>
      </w:pPr>
      <w:r>
        <w:t>Which sayings/actions have the highest historical confidence?</w:t>
      </w:r>
    </w:p>
    <w:p>
      <w:pPr>
        <w:pStyle w:val="ListBullet"/>
      </w:pPr>
      <w:r>
        <w:t>How did Jesus understand sonship, messiahship, and authority?</w:t>
      </w:r>
    </w:p>
    <w:p>
      <w:pPr>
        <w:pStyle w:val="ListBullet"/>
      </w:pPr>
      <w:r>
        <w:t>What best explains resurrection experiences and empty-tomb traditions?</w:t>
      </w:r>
    </w:p>
    <w:p>
      <w:pPr>
        <w:pStyle w:val="ListBullet"/>
      </w:pPr>
      <w:r>
        <w:t>How should the Way relate Jesus' teaching to later Pauline and conciliar theology?</w:t>
      </w:r>
    </w:p>
    <w:p>
      <w:pPr>
        <w:pStyle w:val="Heading1"/>
        <w:pageBreakBefore/>
      </w:pPr>
      <w:r>
        <w:t>TQ-004 - Muhammad / Qur'anic Revelation</w:t>
      </w:r>
    </w:p>
    <w:tbl>
      <w:tblPr>
        <w:tblStyle w:val="TableGrid"/>
        <w:tblW w:type="auto" w:w="0"/>
        <w:tblLook w:firstColumn="1" w:firstRow="1" w:lastColumn="0" w:lastRow="0" w:noHBand="0" w:noVBand="1" w:val="04A0"/>
      </w:tblPr>
      <w:tblGrid>
        <w:gridCol w:w="9994"/>
      </w:tblGrid>
      <w:tr>
        <w:trPr>
          <w:tblHeader w:val="true"/>
        </w:trPr>
        <w:tc>
          <w:tcPr>
            <w:tcW w:type="dxa" w:w="9994"/>
            <w:shd w:fill="F8FAFC"/>
            <w:tcMar>
              <w:top w:w="130" w:type="dxa"/>
              <w:start w:w="160" w:type="dxa"/>
              <w:bottom w:w="130" w:type="dxa"/>
              <w:end w:w="160" w:type="dxa"/>
            </w:tcMar>
          </w:tcPr>
          <w:p>
            <w:r>
              <w:rPr>
                <w:b/>
                <w:color w:val="334155"/>
              </w:rPr>
              <w:t>Research question</w:t>
              <w:br/>
            </w:r>
            <w:r>
              <w:t>What can responsibly be said about Muhammad historically, and how should the Qur'an's revelation claim be evaluated?</w:t>
            </w:r>
          </w:p>
        </w:tc>
      </w:tr>
    </w:tbl>
    <w:p>
      <w:r>
        <w:t>Muhammad is historically secure as the seventh-century Arabian leader around whom the early Muslim community formed. The Qur'an is the earliest major source for his proclamation and is far closer to his lifetime than the developed sira and hadith corpora. The theological claim that the Qur'an is divine speech, and the traditional claim of final prophethood, require theological and philosophical assessment in addition to historical source criticism.</w:t>
      </w:r>
    </w:p>
    <w:p>
      <w:pPr>
        <w:pStyle w:val="Heading2"/>
      </w:pPr>
      <w:r>
        <w:t>Witness map</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shd w:fill="334155"/>
            <w:vAlign w:val="center"/>
            <w:tcMar>
              <w:top w:w="80" w:type="dxa"/>
              <w:start w:w="90" w:type="dxa"/>
              <w:bottom w:w="80" w:type="dxa"/>
              <w:end w:w="90" w:type="dxa"/>
            </w:tcMar>
          </w:tcPr>
          <w:p>
            <w:r>
              <w:rPr>
                <w:b/>
                <w:color w:val="FFFFFF"/>
                <w:sz w:val="15"/>
              </w:rPr>
              <w:t>Witness</w:t>
            </w:r>
          </w:p>
        </w:tc>
        <w:tc>
          <w:tcPr>
            <w:tcW w:type="dxa" w:w="2880"/>
            <w:shd w:fill="334155"/>
            <w:vAlign w:val="center"/>
            <w:tcMar>
              <w:top w:w="80" w:type="dxa"/>
              <w:start w:w="90" w:type="dxa"/>
              <w:bottom w:w="80" w:type="dxa"/>
              <w:end w:w="90" w:type="dxa"/>
            </w:tcMar>
          </w:tcPr>
          <w:p>
            <w:r>
              <w:rPr>
                <w:b/>
                <w:color w:val="FFFFFF"/>
                <w:sz w:val="15"/>
              </w:rPr>
              <w:t>Source / corpus</w:t>
            </w:r>
          </w:p>
        </w:tc>
        <w:tc>
          <w:tcPr>
            <w:tcW w:type="dxa" w:w="4824"/>
            <w:shd w:fill="334155"/>
            <w:vAlign w:val="center"/>
            <w:tcMar>
              <w:top w:w="80" w:type="dxa"/>
              <w:start w:w="90" w:type="dxa"/>
              <w:bottom w:w="80" w:type="dxa"/>
              <w:end w:w="90" w:type="dxa"/>
            </w:tcMar>
          </w:tcPr>
          <w:p>
            <w:r>
              <w:rPr>
                <w:b/>
                <w:color w:val="FFFFFF"/>
                <w:sz w:val="15"/>
              </w:rPr>
              <w:t>Research use</w:t>
            </w:r>
          </w:p>
        </w:tc>
      </w:tr>
      <w:tr>
        <w:trPr>
          <w:cantSplit/>
        </w:trPr>
        <w:tc>
          <w:tcPr>
            <w:tcW w:type="dxa" w:w="2088"/>
            <w:vAlign w:val="top"/>
            <w:tcMar>
              <w:top w:w="80" w:type="dxa"/>
              <w:start w:w="90" w:type="dxa"/>
              <w:bottom w:w="80" w:type="dxa"/>
              <w:end w:w="90" w:type="dxa"/>
            </w:tcMar>
          </w:tcPr>
          <w:p>
            <w:pPr>
              <w:spacing w:after="30"/>
            </w:pPr>
            <w:r>
              <w:rPr>
                <w:sz w:val="15"/>
              </w:rPr>
              <w:t>Qur'an</w:t>
            </w:r>
          </w:p>
        </w:tc>
        <w:tc>
          <w:tcPr>
            <w:tcW w:type="dxa" w:w="2880"/>
            <w:vAlign w:val="top"/>
            <w:tcMar>
              <w:top w:w="80" w:type="dxa"/>
              <w:start w:w="90" w:type="dxa"/>
              <w:bottom w:w="80" w:type="dxa"/>
              <w:end w:w="90" w:type="dxa"/>
            </w:tcMar>
          </w:tcPr>
          <w:p>
            <w:pPr>
              <w:spacing w:after="30"/>
            </w:pPr>
            <w:r>
              <w:rPr>
                <w:sz w:val="15"/>
              </w:rPr>
              <w:t>Earliest major Islamic source</w:t>
            </w:r>
          </w:p>
        </w:tc>
        <w:tc>
          <w:tcPr>
            <w:tcW w:type="dxa" w:w="4824"/>
            <w:vAlign w:val="top"/>
            <w:tcMar>
              <w:top w:w="80" w:type="dxa"/>
              <w:start w:w="90" w:type="dxa"/>
              <w:bottom w:w="80" w:type="dxa"/>
              <w:end w:w="90" w:type="dxa"/>
            </w:tcMar>
          </w:tcPr>
          <w:p>
            <w:pPr>
              <w:spacing w:after="30"/>
            </w:pPr>
            <w:r>
              <w:rPr>
                <w:sz w:val="15"/>
              </w:rPr>
              <w:t>Broad scholarly agreement, though not unanimity, treats its content as substantially deriving from Muhammad's proclamation; it is not arranged as a biography.</w:t>
            </w:r>
          </w:p>
        </w:tc>
      </w:tr>
      <w:tr>
        <w:trPr>
          <w:cantSplit/>
        </w:trPr>
        <w:tc>
          <w:tcPr>
            <w:tcW w:type="dxa" w:w="2088"/>
            <w:vAlign w:val="top"/>
            <w:tcMar>
              <w:top w:w="80" w:type="dxa"/>
              <w:start w:w="90" w:type="dxa"/>
              <w:bottom w:w="80" w:type="dxa"/>
              <w:end w:w="90" w:type="dxa"/>
            </w:tcMar>
            <w:shd w:fill="F8FAFC"/>
          </w:tcPr>
          <w:p>
            <w:pPr>
              <w:spacing w:after="30"/>
            </w:pPr>
            <w:r>
              <w:rPr>
                <w:sz w:val="15"/>
              </w:rPr>
              <w:t>Early material evidence</w:t>
            </w:r>
          </w:p>
        </w:tc>
        <w:tc>
          <w:tcPr>
            <w:tcW w:type="dxa" w:w="2880"/>
            <w:vAlign w:val="top"/>
            <w:tcMar>
              <w:top w:w="80" w:type="dxa"/>
              <w:start w:w="90" w:type="dxa"/>
              <w:bottom w:w="80" w:type="dxa"/>
              <w:end w:w="90" w:type="dxa"/>
            </w:tcMar>
            <w:shd w:fill="F8FAFC"/>
          </w:tcPr>
          <w:p>
            <w:pPr>
              <w:spacing w:after="30"/>
            </w:pPr>
            <w:r>
              <w:rPr>
                <w:sz w:val="15"/>
              </w:rPr>
              <w:t>Inscriptions, papyri, coins, early Qur'anic manuscripts</w:t>
            </w:r>
          </w:p>
        </w:tc>
        <w:tc>
          <w:tcPr>
            <w:tcW w:type="dxa" w:w="4824"/>
            <w:vAlign w:val="top"/>
            <w:tcMar>
              <w:top w:w="80" w:type="dxa"/>
              <w:start w:w="90" w:type="dxa"/>
              <w:bottom w:w="80" w:type="dxa"/>
              <w:end w:w="90" w:type="dxa"/>
            </w:tcMar>
            <w:shd w:fill="F8FAFC"/>
          </w:tcPr>
          <w:p>
            <w:pPr>
              <w:spacing w:after="30"/>
            </w:pPr>
            <w:r>
              <w:rPr>
                <w:sz w:val="15"/>
              </w:rPr>
              <w:t>Important for dating, community identity, textual transmission, and early Islamic history.</w:t>
            </w:r>
          </w:p>
        </w:tc>
      </w:tr>
      <w:tr>
        <w:trPr>
          <w:cantSplit/>
        </w:trPr>
        <w:tc>
          <w:tcPr>
            <w:tcW w:type="dxa" w:w="2088"/>
            <w:vAlign w:val="top"/>
            <w:tcMar>
              <w:top w:w="80" w:type="dxa"/>
              <w:start w:w="90" w:type="dxa"/>
              <w:bottom w:w="80" w:type="dxa"/>
              <w:end w:w="90" w:type="dxa"/>
            </w:tcMar>
          </w:tcPr>
          <w:p>
            <w:pPr>
              <w:spacing w:after="30"/>
            </w:pPr>
            <w:r>
              <w:rPr>
                <w:sz w:val="15"/>
              </w:rPr>
              <w:t>Sira literature</w:t>
            </w:r>
          </w:p>
        </w:tc>
        <w:tc>
          <w:tcPr>
            <w:tcW w:type="dxa" w:w="2880"/>
            <w:vAlign w:val="top"/>
            <w:tcMar>
              <w:top w:w="80" w:type="dxa"/>
              <w:start w:w="90" w:type="dxa"/>
              <w:bottom w:w="80" w:type="dxa"/>
              <w:end w:w="90" w:type="dxa"/>
            </w:tcMar>
          </w:tcPr>
          <w:p>
            <w:pPr>
              <w:spacing w:after="30"/>
            </w:pPr>
            <w:r>
              <w:rPr>
                <w:sz w:val="15"/>
              </w:rPr>
              <w:t>Ibn Ishaq tradition preserved through later recensions and related biographies</w:t>
            </w:r>
          </w:p>
        </w:tc>
        <w:tc>
          <w:tcPr>
            <w:tcW w:type="dxa" w:w="4824"/>
            <w:vAlign w:val="top"/>
            <w:tcMar>
              <w:top w:w="80" w:type="dxa"/>
              <w:start w:w="90" w:type="dxa"/>
              <w:bottom w:w="80" w:type="dxa"/>
              <w:end w:w="90" w:type="dxa"/>
            </w:tcMar>
          </w:tcPr>
          <w:p>
            <w:pPr>
              <w:spacing w:after="30"/>
            </w:pPr>
            <w:r>
              <w:rPr>
                <w:sz w:val="15"/>
              </w:rPr>
              <w:t>Indispensable but later than the Qur'an and requires source criticism.</w:t>
            </w:r>
          </w:p>
        </w:tc>
      </w:tr>
      <w:tr>
        <w:trPr>
          <w:cantSplit/>
        </w:trPr>
        <w:tc>
          <w:tcPr>
            <w:tcW w:type="dxa" w:w="2088"/>
            <w:vAlign w:val="top"/>
            <w:tcMar>
              <w:top w:w="80" w:type="dxa"/>
              <w:start w:w="90" w:type="dxa"/>
              <w:bottom w:w="80" w:type="dxa"/>
              <w:end w:w="90" w:type="dxa"/>
            </w:tcMar>
            <w:shd w:fill="F8FAFC"/>
          </w:tcPr>
          <w:p>
            <w:pPr>
              <w:spacing w:after="30"/>
            </w:pPr>
            <w:r>
              <w:rPr>
                <w:sz w:val="15"/>
              </w:rPr>
              <w:t>Hadith corpora</w:t>
            </w:r>
          </w:p>
        </w:tc>
        <w:tc>
          <w:tcPr>
            <w:tcW w:type="dxa" w:w="2880"/>
            <w:vAlign w:val="top"/>
            <w:tcMar>
              <w:top w:w="80" w:type="dxa"/>
              <w:start w:w="90" w:type="dxa"/>
              <w:bottom w:w="80" w:type="dxa"/>
              <w:end w:w="90" w:type="dxa"/>
            </w:tcMar>
            <w:shd w:fill="F8FAFC"/>
          </w:tcPr>
          <w:p>
            <w:pPr>
              <w:spacing w:after="30"/>
            </w:pPr>
            <w:r>
              <w:rPr>
                <w:sz w:val="15"/>
              </w:rPr>
              <w:t>Later collections with isnad/matn traditions</w:t>
            </w:r>
          </w:p>
        </w:tc>
        <w:tc>
          <w:tcPr>
            <w:tcW w:type="dxa" w:w="4824"/>
            <w:vAlign w:val="top"/>
            <w:tcMar>
              <w:top w:w="80" w:type="dxa"/>
              <w:start w:w="90" w:type="dxa"/>
              <w:bottom w:w="80" w:type="dxa"/>
              <w:end w:w="90" w:type="dxa"/>
            </w:tcMar>
            <w:shd w:fill="F8FAFC"/>
          </w:tcPr>
          <w:p>
            <w:pPr>
              <w:spacing w:after="30"/>
            </w:pPr>
            <w:r>
              <w:rPr>
                <w:sz w:val="15"/>
              </w:rPr>
              <w:t>Central to Islamic law and piety; historical evaluation is report-specific and methodologically complex.</w:t>
            </w:r>
          </w:p>
        </w:tc>
      </w:tr>
      <w:tr>
        <w:trPr>
          <w:cantSplit/>
        </w:trPr>
        <w:tc>
          <w:tcPr>
            <w:tcW w:type="dxa" w:w="2088"/>
            <w:vAlign w:val="top"/>
            <w:tcMar>
              <w:top w:w="80" w:type="dxa"/>
              <w:start w:w="90" w:type="dxa"/>
              <w:bottom w:w="80" w:type="dxa"/>
              <w:end w:w="90" w:type="dxa"/>
            </w:tcMar>
          </w:tcPr>
          <w:p>
            <w:pPr>
              <w:spacing w:after="30"/>
            </w:pPr>
            <w:r>
              <w:rPr>
                <w:sz w:val="15"/>
              </w:rPr>
              <w:t>Non-Muslim witnesses</w:t>
            </w:r>
          </w:p>
        </w:tc>
        <w:tc>
          <w:tcPr>
            <w:tcW w:type="dxa" w:w="2880"/>
            <w:vAlign w:val="top"/>
            <w:tcMar>
              <w:top w:w="80" w:type="dxa"/>
              <w:start w:w="90" w:type="dxa"/>
              <w:bottom w:w="80" w:type="dxa"/>
              <w:end w:w="90" w:type="dxa"/>
            </w:tcMar>
          </w:tcPr>
          <w:p>
            <w:pPr>
              <w:spacing w:after="30"/>
            </w:pPr>
            <w:r>
              <w:rPr>
                <w:sz w:val="15"/>
              </w:rPr>
              <w:t>Early Christian, Jewish, and other external notices</w:t>
            </w:r>
          </w:p>
        </w:tc>
        <w:tc>
          <w:tcPr>
            <w:tcW w:type="dxa" w:w="4824"/>
            <w:vAlign w:val="top"/>
            <w:tcMar>
              <w:top w:w="80" w:type="dxa"/>
              <w:start w:w="90" w:type="dxa"/>
              <w:bottom w:w="80" w:type="dxa"/>
              <w:end w:w="90" w:type="dxa"/>
            </w:tcMar>
          </w:tcPr>
          <w:p>
            <w:pPr>
              <w:spacing w:after="30"/>
            </w:pPr>
            <w:r>
              <w:rPr>
                <w:sz w:val="15"/>
              </w:rPr>
              <w:t>Potential independent data but often brief, polemical, or difficult to interpret.</w:t>
            </w:r>
          </w:p>
        </w:tc>
      </w:tr>
    </w:tbl>
    <w:p>
      <w:pPr>
        <w:pStyle w:val="Heading2"/>
      </w:pPr>
      <w:r>
        <w:t>Findings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4968"/>
            <w:shd w:fill="334155"/>
            <w:vAlign w:val="center"/>
            <w:tcMar>
              <w:top w:w="80" w:type="dxa"/>
              <w:start w:w="90" w:type="dxa"/>
              <w:bottom w:w="80" w:type="dxa"/>
              <w:end w:w="90" w:type="dxa"/>
            </w:tcMar>
          </w:tcPr>
          <w:p>
            <w:r>
              <w:rPr>
                <w:b/>
                <w:color w:val="FFFFFF"/>
                <w:sz w:val="15"/>
              </w:rPr>
              <w:t>Claim</w:t>
            </w:r>
          </w:p>
        </w:tc>
        <w:tc>
          <w:tcPr>
            <w:tcW w:type="dxa" w:w="1728"/>
            <w:shd w:fill="334155"/>
            <w:vAlign w:val="center"/>
            <w:tcMar>
              <w:top w:w="80" w:type="dxa"/>
              <w:start w:w="90" w:type="dxa"/>
              <w:bottom w:w="80" w:type="dxa"/>
              <w:end w:w="90" w:type="dxa"/>
            </w:tcMar>
          </w:tcPr>
          <w:p>
            <w:r>
              <w:rPr>
                <w:b/>
                <w:color w:val="FFFFFF"/>
                <w:sz w:val="15"/>
              </w:rPr>
              <w:t>Confidence</w:t>
            </w:r>
          </w:p>
        </w:tc>
        <w:tc>
          <w:tcPr>
            <w:tcW w:type="dxa" w:w="3096"/>
            <w:shd w:fill="334155"/>
            <w:vAlign w:val="center"/>
            <w:tcMar>
              <w:top w:w="80" w:type="dxa"/>
              <w:start w:w="90" w:type="dxa"/>
              <w:bottom w:w="80" w:type="dxa"/>
              <w:end w:w="90" w:type="dxa"/>
            </w:tcMar>
          </w:tcPr>
          <w:p>
            <w:r>
              <w:rPr>
                <w:b/>
                <w:color w:val="FFFFFF"/>
                <w:sz w:val="15"/>
              </w:rPr>
              <w:t>Research note</w:t>
            </w:r>
          </w:p>
        </w:tc>
      </w:tr>
      <w:tr>
        <w:trPr>
          <w:cantSplit/>
        </w:trPr>
        <w:tc>
          <w:tcPr>
            <w:tcW w:type="dxa" w:w="4968"/>
            <w:vAlign w:val="top"/>
            <w:tcMar>
              <w:top w:w="80" w:type="dxa"/>
              <w:start w:w="90" w:type="dxa"/>
              <w:bottom w:w="80" w:type="dxa"/>
              <w:end w:w="90" w:type="dxa"/>
            </w:tcMar>
          </w:tcPr>
          <w:p>
            <w:pPr>
              <w:spacing w:after="30"/>
            </w:pPr>
            <w:r>
              <w:rPr>
                <w:sz w:val="15"/>
              </w:rPr>
              <w:t>Muhammad was a seventh-century Arabian religious and political leader whose movement produced the early Muslim community.</w:t>
            </w:r>
          </w:p>
        </w:tc>
        <w:tc>
          <w:tcPr>
            <w:tcW w:type="dxa" w:w="1728"/>
            <w:vAlign w:val="top"/>
            <w:tcMar>
              <w:top w:w="80" w:type="dxa"/>
              <w:start w:w="90" w:type="dxa"/>
              <w:bottom w:w="80" w:type="dxa"/>
              <w:end w:w="90" w:type="dxa"/>
            </w:tcMar>
          </w:tcPr>
          <w:p>
            <w:pPr>
              <w:spacing w:after="30"/>
            </w:pPr>
            <w:r>
              <w:rPr>
                <w:sz w:val="15"/>
              </w:rPr>
              <w:t>Established</w:t>
            </w:r>
          </w:p>
        </w:tc>
        <w:tc>
          <w:tcPr>
            <w:tcW w:type="dxa" w:w="3096"/>
            <w:vAlign w:val="top"/>
            <w:tcMar>
              <w:top w:w="80" w:type="dxa"/>
              <w:start w:w="90" w:type="dxa"/>
              <w:bottom w:w="80" w:type="dxa"/>
              <w:end w:w="90" w:type="dxa"/>
            </w:tcMar>
          </w:tcPr>
          <w:p>
            <w:pPr>
              <w:spacing w:after="30"/>
            </w:pPr>
            <w:r>
              <w:rPr>
                <w:sz w:val="15"/>
              </w:rPr>
              <w:t>Basic historical conclusion.</w:t>
            </w:r>
          </w:p>
        </w:tc>
      </w:tr>
      <w:tr>
        <w:trPr>
          <w:cantSplit/>
        </w:trPr>
        <w:tc>
          <w:tcPr>
            <w:tcW w:type="dxa" w:w="4968"/>
            <w:vAlign w:val="top"/>
            <w:tcMar>
              <w:top w:w="80" w:type="dxa"/>
              <w:start w:w="90" w:type="dxa"/>
              <w:bottom w:w="80" w:type="dxa"/>
              <w:end w:w="90" w:type="dxa"/>
            </w:tcMar>
            <w:shd w:fill="F8FAFC"/>
          </w:tcPr>
          <w:p>
            <w:pPr>
              <w:spacing w:after="30"/>
            </w:pPr>
            <w:r>
              <w:rPr>
                <w:sz w:val="15"/>
              </w:rPr>
              <w:t>The Qur'an is the earliest principal textual witness to Muhammad's proclamation.</w:t>
            </w:r>
          </w:p>
        </w:tc>
        <w:tc>
          <w:tcPr>
            <w:tcW w:type="dxa" w:w="1728"/>
            <w:vAlign w:val="top"/>
            <w:tcMar>
              <w:top w:w="80" w:type="dxa"/>
              <w:start w:w="90" w:type="dxa"/>
              <w:bottom w:w="80" w:type="dxa"/>
              <w:end w:w="90" w:type="dxa"/>
            </w:tcMar>
            <w:shd w:fill="F8FAFC"/>
          </w:tcPr>
          <w:p>
            <w:pPr>
              <w:spacing w:after="30"/>
            </w:pPr>
            <w:r>
              <w:rPr>
                <w:sz w:val="15"/>
              </w:rPr>
              <w:t>Established</w:t>
            </w:r>
          </w:p>
        </w:tc>
        <w:tc>
          <w:tcPr>
            <w:tcW w:type="dxa" w:w="3096"/>
            <w:vAlign w:val="top"/>
            <w:tcMar>
              <w:top w:w="80" w:type="dxa"/>
              <w:start w:w="90" w:type="dxa"/>
              <w:bottom w:w="80" w:type="dxa"/>
              <w:end w:w="90" w:type="dxa"/>
            </w:tcMar>
            <w:shd w:fill="F8FAFC"/>
          </w:tcPr>
          <w:p>
            <w:pPr>
              <w:spacing w:after="30"/>
            </w:pPr>
            <w:r>
              <w:rPr>
                <w:sz w:val="15"/>
              </w:rPr>
              <w:t>It remains incomplete as biography.</w:t>
            </w:r>
          </w:p>
        </w:tc>
      </w:tr>
      <w:tr>
        <w:trPr>
          <w:cantSplit/>
        </w:trPr>
        <w:tc>
          <w:tcPr>
            <w:tcW w:type="dxa" w:w="4968"/>
            <w:vAlign w:val="top"/>
            <w:tcMar>
              <w:top w:w="80" w:type="dxa"/>
              <w:start w:w="90" w:type="dxa"/>
              <w:bottom w:w="80" w:type="dxa"/>
              <w:end w:w="90" w:type="dxa"/>
            </w:tcMar>
          </w:tcPr>
          <w:p>
            <w:pPr>
              <w:spacing w:after="30"/>
            </w:pPr>
            <w:r>
              <w:rPr>
                <w:sz w:val="15"/>
              </w:rPr>
              <w:t>Later sira and hadith should not be given the same source weight as the Qur'an merely because tradition groups them together.</w:t>
            </w:r>
          </w:p>
        </w:tc>
        <w:tc>
          <w:tcPr>
            <w:tcW w:type="dxa" w:w="1728"/>
            <w:vAlign w:val="top"/>
            <w:tcMar>
              <w:top w:w="80" w:type="dxa"/>
              <w:start w:w="90" w:type="dxa"/>
              <w:bottom w:w="80" w:type="dxa"/>
              <w:end w:w="90" w:type="dxa"/>
            </w:tcMar>
          </w:tcPr>
          <w:p>
            <w:pPr>
              <w:spacing w:after="30"/>
            </w:pPr>
            <w:r>
              <w:rPr>
                <w:sz w:val="15"/>
              </w:rPr>
              <w:t>Established - Methodological</w:t>
            </w:r>
          </w:p>
        </w:tc>
        <w:tc>
          <w:tcPr>
            <w:tcW w:type="dxa" w:w="3096"/>
            <w:vAlign w:val="top"/>
            <w:tcMar>
              <w:top w:w="80" w:type="dxa"/>
              <w:start w:w="90" w:type="dxa"/>
              <w:bottom w:w="80" w:type="dxa"/>
              <w:end w:w="90" w:type="dxa"/>
            </w:tcMar>
          </w:tcPr>
          <w:p>
            <w:pPr>
              <w:spacing w:after="30"/>
            </w:pPr>
            <w:r>
              <w:rPr>
                <w:sz w:val="15"/>
              </w:rPr>
              <w:t>Each report requires provenance and transmission analysis.</w:t>
            </w:r>
          </w:p>
        </w:tc>
      </w:tr>
      <w:tr>
        <w:trPr>
          <w:cantSplit/>
        </w:trPr>
        <w:tc>
          <w:tcPr>
            <w:tcW w:type="dxa" w:w="4968"/>
            <w:vAlign w:val="top"/>
            <w:tcMar>
              <w:top w:w="80" w:type="dxa"/>
              <w:start w:w="90" w:type="dxa"/>
              <w:bottom w:w="80" w:type="dxa"/>
              <w:end w:w="90" w:type="dxa"/>
            </w:tcMar>
            <w:shd w:fill="F8FAFC"/>
          </w:tcPr>
          <w:p>
            <w:pPr>
              <w:spacing w:after="30"/>
            </w:pPr>
            <w:r>
              <w:rPr>
                <w:sz w:val="15"/>
              </w:rPr>
              <w:t>The Qur'an presents Muhammad as messenger and "seal of the prophets."</w:t>
            </w:r>
          </w:p>
        </w:tc>
        <w:tc>
          <w:tcPr>
            <w:tcW w:type="dxa" w:w="1728"/>
            <w:vAlign w:val="top"/>
            <w:tcMar>
              <w:top w:w="80" w:type="dxa"/>
              <w:start w:w="90" w:type="dxa"/>
              <w:bottom w:w="80" w:type="dxa"/>
              <w:end w:w="90" w:type="dxa"/>
            </w:tcMar>
            <w:shd w:fill="F8FAFC"/>
          </w:tcPr>
          <w:p>
            <w:pPr>
              <w:spacing w:after="30"/>
            </w:pPr>
            <w:r>
              <w:rPr>
                <w:sz w:val="15"/>
              </w:rPr>
              <w:t>Established - Textual</w:t>
            </w:r>
          </w:p>
        </w:tc>
        <w:tc>
          <w:tcPr>
            <w:tcW w:type="dxa" w:w="3096"/>
            <w:vAlign w:val="top"/>
            <w:tcMar>
              <w:top w:w="80" w:type="dxa"/>
              <w:start w:w="90" w:type="dxa"/>
              <w:bottom w:w="80" w:type="dxa"/>
              <w:end w:w="90" w:type="dxa"/>
            </w:tcMar>
            <w:shd w:fill="F8FAFC"/>
          </w:tcPr>
          <w:p>
            <w:pPr>
              <w:spacing w:after="30"/>
            </w:pPr>
            <w:r>
              <w:rPr>
                <w:sz w:val="15"/>
              </w:rPr>
              <w:t>The meaning is central to Islamic theology; textual description is distinct from Assembly endorsement.</w:t>
            </w:r>
          </w:p>
        </w:tc>
      </w:tr>
      <w:tr>
        <w:trPr>
          <w:cantSplit/>
        </w:trPr>
        <w:tc>
          <w:tcPr>
            <w:tcW w:type="dxa" w:w="4968"/>
            <w:vAlign w:val="top"/>
            <w:tcMar>
              <w:top w:w="80" w:type="dxa"/>
              <w:start w:w="90" w:type="dxa"/>
              <w:bottom w:w="80" w:type="dxa"/>
              <w:end w:w="90" w:type="dxa"/>
            </w:tcMar>
          </w:tcPr>
          <w:p>
            <w:pPr>
              <w:spacing w:after="30"/>
            </w:pPr>
            <w:r>
              <w:rPr>
                <w:sz w:val="15"/>
              </w:rPr>
              <w:t>Muhammad was divinely commissioned and the Qur'an is verbatim divine revelation.</w:t>
            </w:r>
          </w:p>
        </w:tc>
        <w:tc>
          <w:tcPr>
            <w:tcW w:type="dxa" w:w="1728"/>
            <w:vAlign w:val="top"/>
            <w:tcMar>
              <w:top w:w="80" w:type="dxa"/>
              <w:start w:w="90" w:type="dxa"/>
              <w:bottom w:w="80" w:type="dxa"/>
              <w:end w:w="90" w:type="dxa"/>
            </w:tcMar>
          </w:tcPr>
          <w:p>
            <w:pPr>
              <w:spacing w:after="30"/>
            </w:pPr>
            <w:r>
              <w:rPr>
                <w:sz w:val="15"/>
              </w:rPr>
              <w:t>Open Question - Theological</w:t>
            </w:r>
          </w:p>
        </w:tc>
        <w:tc>
          <w:tcPr>
            <w:tcW w:type="dxa" w:w="3096"/>
            <w:vAlign w:val="top"/>
            <w:tcMar>
              <w:top w:w="80" w:type="dxa"/>
              <w:start w:w="90" w:type="dxa"/>
              <w:bottom w:w="80" w:type="dxa"/>
              <w:end w:w="90" w:type="dxa"/>
            </w:tcMar>
          </w:tcPr>
          <w:p>
            <w:pPr>
              <w:spacing w:after="30"/>
            </w:pPr>
            <w:r>
              <w:rPr>
                <w:sz w:val="15"/>
              </w:rPr>
              <w:t>History can assess provenance and proclamation; divine origin requires additional inference.</w:t>
            </w:r>
          </w:p>
        </w:tc>
      </w:tr>
      <w:tr>
        <w:trPr>
          <w:cantSplit/>
        </w:trPr>
        <w:tc>
          <w:tcPr>
            <w:tcW w:type="dxa" w:w="4968"/>
            <w:vAlign w:val="top"/>
            <w:tcMar>
              <w:top w:w="80" w:type="dxa"/>
              <w:start w:w="90" w:type="dxa"/>
              <w:bottom w:w="80" w:type="dxa"/>
              <w:end w:w="90" w:type="dxa"/>
            </w:tcMar>
            <w:shd w:fill="F8FAFC"/>
          </w:tcPr>
          <w:p>
            <w:pPr>
              <w:spacing w:after="30"/>
            </w:pPr>
            <w:r>
              <w:rPr>
                <w:sz w:val="15"/>
              </w:rPr>
              <w:t>Muhammad is necessarily the final possible bearer of revelation for all humanity.</w:t>
            </w:r>
          </w:p>
        </w:tc>
        <w:tc>
          <w:tcPr>
            <w:tcW w:type="dxa" w:w="1728"/>
            <w:vAlign w:val="top"/>
            <w:tcMar>
              <w:top w:w="80" w:type="dxa"/>
              <w:start w:w="90" w:type="dxa"/>
              <w:bottom w:w="80" w:type="dxa"/>
              <w:end w:w="90" w:type="dxa"/>
            </w:tcMar>
            <w:shd w:fill="F8FAFC"/>
          </w:tcPr>
          <w:p>
            <w:pPr>
              <w:spacing w:after="30"/>
            </w:pPr>
            <w:r>
              <w:rPr>
                <w:sz w:val="15"/>
              </w:rPr>
              <w:t>Open Question for the Way</w:t>
            </w:r>
          </w:p>
        </w:tc>
        <w:tc>
          <w:tcPr>
            <w:tcW w:type="dxa" w:w="3096"/>
            <w:vAlign w:val="top"/>
            <w:tcMar>
              <w:top w:w="80" w:type="dxa"/>
              <w:start w:w="90" w:type="dxa"/>
              <w:bottom w:w="80" w:type="dxa"/>
              <w:end w:w="90" w:type="dxa"/>
            </w:tcMar>
            <w:shd w:fill="F8FAFC"/>
          </w:tcPr>
          <w:p>
            <w:pPr>
              <w:spacing w:after="30"/>
            </w:pPr>
            <w:r>
              <w:rPr>
                <w:sz w:val="15"/>
              </w:rPr>
              <w:t>The Qur'anic claim and Islamic interpretation are studied seriously but not adopted automatically.</w:t>
            </w:r>
          </w:p>
        </w:tc>
      </w:tr>
    </w:tbl>
    <w:p>
      <w:pPr>
        <w:pStyle w:val="Heading2"/>
      </w:pPr>
      <w:r>
        <w:t>Major interpretations still in view</w:t>
      </w:r>
    </w:p>
    <w:p>
      <w:r>
        <w:rPr>
          <w:b/>
        </w:rPr>
        <w:t xml:space="preserve">Classical Sunni/Shi'a prophethood: </w:t>
      </w:r>
      <w:r>
        <w:t>Muhammad as final prophet/messenger and Qur'an as divine revelation; traditions differ on succession and authority.</w:t>
      </w:r>
    </w:p>
    <w:p>
      <w:r>
        <w:rPr>
          <w:b/>
        </w:rPr>
        <w:t xml:space="preserve">Historical-critical account: </w:t>
      </w:r>
      <w:r>
        <w:t>Muhammad as late antique Arabian religious leader whose proclamation must be studied in its Jewish, Christian, Arabian, political, and linguistic setting.</w:t>
      </w:r>
    </w:p>
    <w:p>
      <w:r>
        <w:rPr>
          <w:b/>
        </w:rPr>
        <w:t xml:space="preserve">Revisionist historical models: </w:t>
      </w:r>
      <w:r>
        <w:t>Some scholarship has challenged aspects of traditional chronology or source reliability; proposals require case-by-case evidence.</w:t>
      </w:r>
    </w:p>
    <w:p>
      <w:r>
        <w:rPr>
          <w:b/>
        </w:rPr>
        <w:t xml:space="preserve">Interreligious prophetic recognition: </w:t>
      </w:r>
      <w:r>
        <w:t>Some non-Muslim thinkers regard Muhammad as a genuine religious reformer or prophetic witness without accepting every Islamic dogmatic claim.</w:t>
      </w:r>
    </w:p>
    <w:p>
      <w:pPr>
        <w:pStyle w:val="Heading2"/>
      </w:pPr>
      <w:r>
        <w:t>Current Way posture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800"/>
            <w:shd w:fill="334155"/>
            <w:vAlign w:val="center"/>
            <w:tcMar>
              <w:top w:w="80" w:type="dxa"/>
              <w:start w:w="90" w:type="dxa"/>
              <w:bottom w:w="80" w:type="dxa"/>
              <w:end w:w="90" w:type="dxa"/>
            </w:tcMar>
          </w:tcPr>
          <w:p>
            <w:r>
              <w:rPr>
                <w:b/>
                <w:color w:val="FFFFFF"/>
                <w:sz w:val="16"/>
              </w:rPr>
              <w:t>Status</w:t>
            </w:r>
          </w:p>
        </w:tc>
        <w:tc>
          <w:tcPr>
            <w:tcW w:type="dxa" w:w="7992"/>
            <w:shd w:fill="334155"/>
            <w:vAlign w:val="center"/>
            <w:tcMar>
              <w:top w:w="80" w:type="dxa"/>
              <w:start w:w="90" w:type="dxa"/>
              <w:bottom w:w="80" w:type="dxa"/>
              <w:end w:w="90" w:type="dxa"/>
            </w:tcMar>
          </w:tcPr>
          <w:p>
            <w:r>
              <w:rPr>
                <w:b/>
                <w:color w:val="FFFFFF"/>
                <w:sz w:val="16"/>
              </w:rPr>
              <w:t>Current posture</w:t>
            </w:r>
          </w:p>
        </w:tc>
      </w:tr>
      <w:tr>
        <w:trPr>
          <w:cantSplit/>
        </w:trPr>
        <w:tc>
          <w:tcPr>
            <w:tcW w:type="dxa" w:w="1800"/>
            <w:vAlign w:val="top"/>
            <w:tcMar>
              <w:top w:w="80" w:type="dxa"/>
              <w:start w:w="90" w:type="dxa"/>
              <w:bottom w:w="80" w:type="dxa"/>
              <w:end w:w="90" w:type="dxa"/>
            </w:tcMar>
          </w:tcPr>
          <w:p>
            <w:pPr>
              <w:spacing w:after="30"/>
            </w:pPr>
            <w:r>
              <w:rPr>
                <w:sz w:val="16"/>
              </w:rPr>
              <w:t>Established</w:t>
            </w:r>
          </w:p>
        </w:tc>
        <w:tc>
          <w:tcPr>
            <w:tcW w:type="dxa" w:w="7992"/>
            <w:vAlign w:val="top"/>
            <w:tcMar>
              <w:top w:w="80" w:type="dxa"/>
              <w:start w:w="90" w:type="dxa"/>
              <w:bottom w:w="80" w:type="dxa"/>
              <w:end w:w="90" w:type="dxa"/>
            </w:tcMar>
          </w:tcPr>
          <w:p>
            <w:pPr>
              <w:spacing w:after="30"/>
            </w:pPr>
            <w:r>
              <w:rPr>
                <w:sz w:val="16"/>
              </w:rPr>
              <w:t>Muhammad and the Qur'an are major witnesses that must be studied directly rather than through polemic.</w:t>
            </w:r>
          </w:p>
        </w:tc>
      </w:tr>
      <w:tr>
        <w:trPr>
          <w:cantSplit/>
        </w:trPr>
        <w:tc>
          <w:tcPr>
            <w:tcW w:type="dxa" w:w="1800"/>
            <w:vAlign w:val="top"/>
            <w:tcMar>
              <w:top w:w="80" w:type="dxa"/>
              <w:start w:w="90" w:type="dxa"/>
              <w:bottom w:w="80" w:type="dxa"/>
              <w:end w:w="90" w:type="dxa"/>
            </w:tcMar>
            <w:shd w:fill="F8FAFC"/>
          </w:tcPr>
          <w:p>
            <w:pPr>
              <w:spacing w:after="30"/>
            </w:pPr>
            <w:r>
              <w:rPr>
                <w:sz w:val="16"/>
              </w:rPr>
              <w:t>Established</w:t>
            </w:r>
          </w:p>
        </w:tc>
        <w:tc>
          <w:tcPr>
            <w:tcW w:type="dxa" w:w="7992"/>
            <w:vAlign w:val="top"/>
            <w:tcMar>
              <w:top w:w="80" w:type="dxa"/>
              <w:start w:w="90" w:type="dxa"/>
              <w:bottom w:w="80" w:type="dxa"/>
              <w:end w:w="90" w:type="dxa"/>
            </w:tcMar>
            <w:shd w:fill="F8FAFC"/>
          </w:tcPr>
          <w:p>
            <w:pPr>
              <w:spacing w:after="30"/>
            </w:pPr>
            <w:r>
              <w:rPr>
                <w:sz w:val="16"/>
              </w:rPr>
              <w:t>Source classes must remain differentiated: Qur'an, early material evidence, sira, hadith, tafsir, and later doctrine.</w:t>
            </w:r>
          </w:p>
        </w:tc>
      </w:tr>
      <w:tr>
        <w:trPr>
          <w:cantSplit/>
        </w:trPr>
        <w:tc>
          <w:tcPr>
            <w:tcW w:type="dxa" w:w="1800"/>
            <w:vAlign w:val="top"/>
            <w:tcMar>
              <w:top w:w="80" w:type="dxa"/>
              <w:start w:w="90" w:type="dxa"/>
              <w:bottom w:w="80" w:type="dxa"/>
              <w:end w:w="90" w:type="dxa"/>
            </w:tcMar>
          </w:tcPr>
          <w:p>
            <w:pPr>
              <w:spacing w:after="30"/>
            </w:pPr>
            <w:r>
              <w:rPr>
                <w:sz w:val="16"/>
              </w:rPr>
              <w:t>Open Question</w:t>
            </w:r>
          </w:p>
        </w:tc>
        <w:tc>
          <w:tcPr>
            <w:tcW w:type="dxa" w:w="7992"/>
            <w:vAlign w:val="top"/>
            <w:tcMar>
              <w:top w:w="80" w:type="dxa"/>
              <w:start w:w="90" w:type="dxa"/>
              <w:bottom w:w="80" w:type="dxa"/>
              <w:end w:w="90" w:type="dxa"/>
            </w:tcMar>
          </w:tcPr>
          <w:p>
            <w:pPr>
              <w:spacing w:after="30"/>
            </w:pPr>
            <w:r>
              <w:rPr>
                <w:sz w:val="16"/>
              </w:rPr>
              <w:t>Divine authorship, inimitability as proof, finality of prophethood, and the normative authority of later hadith for the Way.</w:t>
            </w:r>
          </w:p>
        </w:tc>
      </w:tr>
      <w:tr>
        <w:trPr>
          <w:cantSplit/>
        </w:trPr>
        <w:tc>
          <w:tcPr>
            <w:tcW w:type="dxa" w:w="1800"/>
            <w:vAlign w:val="top"/>
            <w:tcMar>
              <w:top w:w="80" w:type="dxa"/>
              <w:start w:w="90" w:type="dxa"/>
              <w:bottom w:w="80" w:type="dxa"/>
              <w:end w:w="90" w:type="dxa"/>
            </w:tcMar>
            <w:shd w:fill="F8FAFC"/>
          </w:tcPr>
          <w:p>
            <w:pPr>
              <w:spacing w:after="30"/>
            </w:pPr>
            <w:r>
              <w:rPr>
                <w:sz w:val="16"/>
              </w:rPr>
              <w:t>Safeguard</w:t>
            </w:r>
          </w:p>
        </w:tc>
        <w:tc>
          <w:tcPr>
            <w:tcW w:type="dxa" w:w="7992"/>
            <w:vAlign w:val="top"/>
            <w:tcMar>
              <w:top w:w="80" w:type="dxa"/>
              <w:start w:w="90" w:type="dxa"/>
              <w:bottom w:w="80" w:type="dxa"/>
              <w:end w:w="90" w:type="dxa"/>
            </w:tcMar>
            <w:shd w:fill="F8FAFC"/>
          </w:tcPr>
          <w:p>
            <w:pPr>
              <w:spacing w:after="30"/>
            </w:pPr>
            <w:r>
              <w:rPr>
                <w:sz w:val="16"/>
              </w:rPr>
              <w:t>No offense or reverence norm may be used to suppress good-faith historical inquiry or to license denigration of Muslims.</w:t>
            </w:r>
          </w:p>
        </w:tc>
      </w:tr>
    </w:tbl>
    <w:p>
      <w:pPr>
        <w:pStyle w:val="Heading2"/>
      </w:pPr>
      <w:r>
        <w:t>What would materially change confidence?</w:t>
      </w:r>
    </w:p>
    <w:p>
      <w:pPr>
        <w:pStyle w:val="ListBullet"/>
      </w:pPr>
      <w:r>
        <w:t>New early manuscript/epigraphic evidence bearing on textual history and chronology.</w:t>
      </w:r>
    </w:p>
    <w:p>
      <w:pPr>
        <w:pStyle w:val="ListBullet"/>
      </w:pPr>
      <w:r>
        <w:t>Stronger source-critical models linking specific biographical reports to early independent strata.</w:t>
      </w:r>
    </w:p>
    <w:p>
      <w:pPr>
        <w:pStyle w:val="ListBullet"/>
      </w:pPr>
      <w:r>
        <w:t>Arguments for divine revelation that distinguish divine authorship from literary power, historical influence, or sincere conviction.</w:t>
      </w:r>
    </w:p>
    <w:p>
      <w:pPr>
        <w:pStyle w:val="ListBullet"/>
      </w:pPr>
      <w:r>
        <w:t>Evidence clarifying how earliest Muslims understood prophecy, authority, and Qur'anic collection.</w:t>
      </w:r>
    </w:p>
    <w:p>
      <w:pPr>
        <w:pStyle w:val="Heading2"/>
      </w:pPr>
      <w:r>
        <w:t>Next research questions</w:t>
      </w:r>
    </w:p>
    <w:p>
      <w:pPr>
        <w:pStyle w:val="ListBullet"/>
      </w:pPr>
      <w:r>
        <w:t>What can be reconstructed from the Qur'an alone?</w:t>
      </w:r>
    </w:p>
    <w:p>
      <w:pPr>
        <w:pStyle w:val="ListBullet"/>
      </w:pPr>
      <w:r>
        <w:t>How early and stable is the Qur'anic consonantal text, and what do reading traditions imply?</w:t>
      </w:r>
    </w:p>
    <w:p>
      <w:pPr>
        <w:pStyle w:val="ListBullet"/>
      </w:pPr>
      <w:r>
        <w:t>How should hadith be stratified for historical versus devotional use?</w:t>
      </w:r>
    </w:p>
    <w:p>
      <w:pPr>
        <w:pStyle w:val="ListBullet"/>
      </w:pPr>
      <w:r>
        <w:t>What exactly does "seal of the prophets" establish textually and theologically?</w:t>
      </w:r>
    </w:p>
    <w:p>
      <w:pPr>
        <w:pStyle w:val="Heading1"/>
        <w:pageBreakBefore/>
      </w:pPr>
      <w:r>
        <w:t>TQ-005 - Buddha / Awakening / Non-Self</w:t>
      </w:r>
    </w:p>
    <w:tbl>
      <w:tblPr>
        <w:tblStyle w:val="TableGrid"/>
        <w:tblW w:type="auto" w:w="0"/>
        <w:tblLook w:firstColumn="1" w:firstRow="1" w:lastColumn="0" w:lastRow="0" w:noHBand="0" w:noVBand="1" w:val="04A0"/>
      </w:tblPr>
      <w:tblGrid>
        <w:gridCol w:w="9994"/>
      </w:tblGrid>
      <w:tr>
        <w:trPr>
          <w:tblHeader w:val="true"/>
        </w:trPr>
        <w:tc>
          <w:tcPr>
            <w:tcW w:type="dxa" w:w="9994"/>
            <w:shd w:fill="F8FAFC"/>
            <w:tcMar>
              <w:top w:w="130" w:type="dxa"/>
              <w:start w:w="160" w:type="dxa"/>
              <w:bottom w:w="130" w:type="dxa"/>
              <w:end w:w="160" w:type="dxa"/>
            </w:tcMar>
          </w:tcPr>
          <w:p>
            <w:r>
              <w:rPr>
                <w:b/>
                <w:color w:val="334155"/>
              </w:rPr>
              <w:t>Research question</w:t>
              <w:br/>
            </w:r>
            <w:r>
              <w:t>What can responsibly be said about the historical Buddha, early Buddhist teaching, awakening, and non-self?</w:t>
            </w:r>
          </w:p>
        </w:tc>
      </w:tr>
    </w:tbl>
    <w:p>
      <w:r>
        <w:t>Current scholarship places Gautama Buddha roughly around the fifth century BCE and treats the early discourses preserved in multiple textual lineages as the principal evidence for reconstructing early Buddhist thought. The core liberation project - suffering/dukkha, craving, cessation, path, impermanence, and non-self - is much more secure as an early doctrinal complex than many elaborate later biographies or later-school metaphysics.</w:t>
      </w:r>
    </w:p>
    <w:p>
      <w:pPr>
        <w:pStyle w:val="Heading2"/>
      </w:pPr>
      <w:r>
        <w:t>Witness map</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shd w:fill="334155"/>
            <w:vAlign w:val="center"/>
            <w:tcMar>
              <w:top w:w="80" w:type="dxa"/>
              <w:start w:w="90" w:type="dxa"/>
              <w:bottom w:w="80" w:type="dxa"/>
              <w:end w:w="90" w:type="dxa"/>
            </w:tcMar>
          </w:tcPr>
          <w:p>
            <w:r>
              <w:rPr>
                <w:b/>
                <w:color w:val="FFFFFF"/>
                <w:sz w:val="15"/>
              </w:rPr>
              <w:t>Witness</w:t>
            </w:r>
          </w:p>
        </w:tc>
        <w:tc>
          <w:tcPr>
            <w:tcW w:type="dxa" w:w="2880"/>
            <w:shd w:fill="334155"/>
            <w:vAlign w:val="center"/>
            <w:tcMar>
              <w:top w:w="80" w:type="dxa"/>
              <w:start w:w="90" w:type="dxa"/>
              <w:bottom w:w="80" w:type="dxa"/>
              <w:end w:w="90" w:type="dxa"/>
            </w:tcMar>
          </w:tcPr>
          <w:p>
            <w:r>
              <w:rPr>
                <w:b/>
                <w:color w:val="FFFFFF"/>
                <w:sz w:val="15"/>
              </w:rPr>
              <w:t>Source / corpus</w:t>
            </w:r>
          </w:p>
        </w:tc>
        <w:tc>
          <w:tcPr>
            <w:tcW w:type="dxa" w:w="4824"/>
            <w:shd w:fill="334155"/>
            <w:vAlign w:val="center"/>
            <w:tcMar>
              <w:top w:w="80" w:type="dxa"/>
              <w:start w:w="90" w:type="dxa"/>
              <w:bottom w:w="80" w:type="dxa"/>
              <w:end w:w="90" w:type="dxa"/>
            </w:tcMar>
          </w:tcPr>
          <w:p>
            <w:r>
              <w:rPr>
                <w:b/>
                <w:color w:val="FFFFFF"/>
                <w:sz w:val="15"/>
              </w:rPr>
              <w:t>Research use</w:t>
            </w:r>
          </w:p>
        </w:tc>
      </w:tr>
      <w:tr>
        <w:trPr>
          <w:cantSplit/>
        </w:trPr>
        <w:tc>
          <w:tcPr>
            <w:tcW w:type="dxa" w:w="2088"/>
            <w:vAlign w:val="top"/>
            <w:tcMar>
              <w:top w:w="80" w:type="dxa"/>
              <w:start w:w="90" w:type="dxa"/>
              <w:bottom w:w="80" w:type="dxa"/>
              <w:end w:w="90" w:type="dxa"/>
            </w:tcMar>
          </w:tcPr>
          <w:p>
            <w:pPr>
              <w:spacing w:after="30"/>
            </w:pPr>
            <w:r>
              <w:rPr>
                <w:sz w:val="15"/>
              </w:rPr>
              <w:t>Nikayas / Agamas</w:t>
            </w:r>
          </w:p>
        </w:tc>
        <w:tc>
          <w:tcPr>
            <w:tcW w:type="dxa" w:w="2880"/>
            <w:vAlign w:val="top"/>
            <w:tcMar>
              <w:top w:w="80" w:type="dxa"/>
              <w:start w:w="90" w:type="dxa"/>
              <w:bottom w:w="80" w:type="dxa"/>
              <w:end w:w="90" w:type="dxa"/>
            </w:tcMar>
          </w:tcPr>
          <w:p>
            <w:pPr>
              <w:spacing w:after="30"/>
            </w:pPr>
            <w:r>
              <w:rPr>
                <w:sz w:val="15"/>
              </w:rPr>
              <w:t>Early Buddhist discourse collections preserved in Pali and Chinese/Sanskrit-related lineages</w:t>
            </w:r>
          </w:p>
        </w:tc>
        <w:tc>
          <w:tcPr>
            <w:tcW w:type="dxa" w:w="4824"/>
            <w:vAlign w:val="top"/>
            <w:tcMar>
              <w:top w:w="80" w:type="dxa"/>
              <w:start w:w="90" w:type="dxa"/>
              <w:bottom w:w="80" w:type="dxa"/>
              <w:end w:w="90" w:type="dxa"/>
            </w:tcMar>
          </w:tcPr>
          <w:p>
            <w:pPr>
              <w:spacing w:after="30"/>
            </w:pPr>
            <w:r>
              <w:rPr>
                <w:sz w:val="15"/>
              </w:rPr>
              <w:t>Comparative parallels help distinguish early shared strata from school-specific development.</w:t>
            </w:r>
          </w:p>
        </w:tc>
      </w:tr>
      <w:tr>
        <w:trPr>
          <w:cantSplit/>
        </w:trPr>
        <w:tc>
          <w:tcPr>
            <w:tcW w:type="dxa" w:w="2088"/>
            <w:vAlign w:val="top"/>
            <w:tcMar>
              <w:top w:w="80" w:type="dxa"/>
              <w:start w:w="90" w:type="dxa"/>
              <w:bottom w:w="80" w:type="dxa"/>
              <w:end w:w="90" w:type="dxa"/>
            </w:tcMar>
            <w:shd w:fill="F8FAFC"/>
          </w:tcPr>
          <w:p>
            <w:pPr>
              <w:spacing w:after="30"/>
            </w:pPr>
            <w:r>
              <w:rPr>
                <w:sz w:val="15"/>
              </w:rPr>
              <w:t>Vinaya traditions</w:t>
            </w:r>
          </w:p>
        </w:tc>
        <w:tc>
          <w:tcPr>
            <w:tcW w:type="dxa" w:w="2880"/>
            <w:vAlign w:val="top"/>
            <w:tcMar>
              <w:top w:w="80" w:type="dxa"/>
              <w:start w:w="90" w:type="dxa"/>
              <w:bottom w:w="80" w:type="dxa"/>
              <w:end w:w="90" w:type="dxa"/>
            </w:tcMar>
            <w:shd w:fill="F8FAFC"/>
          </w:tcPr>
          <w:p>
            <w:pPr>
              <w:spacing w:after="30"/>
            </w:pPr>
            <w:r>
              <w:rPr>
                <w:sz w:val="15"/>
              </w:rPr>
              <w:t>Monastic disciplinary collections</w:t>
            </w:r>
          </w:p>
        </w:tc>
        <w:tc>
          <w:tcPr>
            <w:tcW w:type="dxa" w:w="4824"/>
            <w:vAlign w:val="top"/>
            <w:tcMar>
              <w:top w:w="80" w:type="dxa"/>
              <w:start w:w="90" w:type="dxa"/>
              <w:bottom w:w="80" w:type="dxa"/>
              <w:end w:w="90" w:type="dxa"/>
            </w:tcMar>
            <w:shd w:fill="F8FAFC"/>
          </w:tcPr>
          <w:p>
            <w:pPr>
              <w:spacing w:after="30"/>
            </w:pPr>
            <w:r>
              <w:rPr>
                <w:sz w:val="15"/>
              </w:rPr>
              <w:t>Preserve institutional and narrative memories, with layers.</w:t>
            </w:r>
          </w:p>
        </w:tc>
      </w:tr>
      <w:tr>
        <w:trPr>
          <w:cantSplit/>
        </w:trPr>
        <w:tc>
          <w:tcPr>
            <w:tcW w:type="dxa" w:w="2088"/>
            <w:vAlign w:val="top"/>
            <w:tcMar>
              <w:top w:w="80" w:type="dxa"/>
              <w:start w:w="90" w:type="dxa"/>
              <w:bottom w:w="80" w:type="dxa"/>
              <w:end w:w="90" w:type="dxa"/>
            </w:tcMar>
          </w:tcPr>
          <w:p>
            <w:pPr>
              <w:spacing w:after="30"/>
            </w:pPr>
            <w:r>
              <w:rPr>
                <w:sz w:val="15"/>
              </w:rPr>
              <w:t>SN 56.11</w:t>
            </w:r>
          </w:p>
        </w:tc>
        <w:tc>
          <w:tcPr>
            <w:tcW w:type="dxa" w:w="2880"/>
            <w:vAlign w:val="top"/>
            <w:tcMar>
              <w:top w:w="80" w:type="dxa"/>
              <w:start w:w="90" w:type="dxa"/>
              <w:bottom w:w="80" w:type="dxa"/>
              <w:end w:w="90" w:type="dxa"/>
            </w:tcMar>
          </w:tcPr>
          <w:p>
            <w:pPr>
              <w:spacing w:after="30"/>
            </w:pPr>
            <w:r>
              <w:rPr>
                <w:sz w:val="15"/>
              </w:rPr>
              <w:t>Setting in Motion the Wheel of Dhamma</w:t>
            </w:r>
          </w:p>
        </w:tc>
        <w:tc>
          <w:tcPr>
            <w:tcW w:type="dxa" w:w="4824"/>
            <w:vAlign w:val="top"/>
            <w:tcMar>
              <w:top w:w="80" w:type="dxa"/>
              <w:start w:w="90" w:type="dxa"/>
              <w:bottom w:w="80" w:type="dxa"/>
              <w:end w:w="90" w:type="dxa"/>
            </w:tcMar>
          </w:tcPr>
          <w:p>
            <w:pPr>
              <w:spacing w:after="30"/>
            </w:pPr>
            <w:r>
              <w:rPr>
                <w:sz w:val="15"/>
              </w:rPr>
              <w:t>Four truths, middle way, eightfold path, liberation.</w:t>
            </w:r>
          </w:p>
        </w:tc>
      </w:tr>
      <w:tr>
        <w:trPr>
          <w:cantSplit/>
        </w:trPr>
        <w:tc>
          <w:tcPr>
            <w:tcW w:type="dxa" w:w="2088"/>
            <w:vAlign w:val="top"/>
            <w:tcMar>
              <w:top w:w="80" w:type="dxa"/>
              <w:start w:w="90" w:type="dxa"/>
              <w:bottom w:w="80" w:type="dxa"/>
              <w:end w:w="90" w:type="dxa"/>
            </w:tcMar>
            <w:shd w:fill="F8FAFC"/>
          </w:tcPr>
          <w:p>
            <w:pPr>
              <w:spacing w:after="30"/>
            </w:pPr>
            <w:r>
              <w:rPr>
                <w:sz w:val="15"/>
              </w:rPr>
              <w:t>SN 22.59</w:t>
            </w:r>
          </w:p>
        </w:tc>
        <w:tc>
          <w:tcPr>
            <w:tcW w:type="dxa" w:w="2880"/>
            <w:vAlign w:val="top"/>
            <w:tcMar>
              <w:top w:w="80" w:type="dxa"/>
              <w:start w:w="90" w:type="dxa"/>
              <w:bottom w:w="80" w:type="dxa"/>
              <w:end w:w="90" w:type="dxa"/>
            </w:tcMar>
            <w:shd w:fill="F8FAFC"/>
          </w:tcPr>
          <w:p>
            <w:pPr>
              <w:spacing w:after="30"/>
            </w:pPr>
            <w:r>
              <w:rPr>
                <w:sz w:val="15"/>
              </w:rPr>
              <w:t>Characteristic of Not-Self</w:t>
            </w:r>
          </w:p>
        </w:tc>
        <w:tc>
          <w:tcPr>
            <w:tcW w:type="dxa" w:w="4824"/>
            <w:vAlign w:val="top"/>
            <w:tcMar>
              <w:top w:w="80" w:type="dxa"/>
              <w:start w:w="90" w:type="dxa"/>
              <w:bottom w:w="80" w:type="dxa"/>
              <w:end w:w="90" w:type="dxa"/>
            </w:tcMar>
            <w:shd w:fill="F8FAFC"/>
          </w:tcPr>
          <w:p>
            <w:pPr>
              <w:spacing w:after="30"/>
            </w:pPr>
            <w:r>
              <w:rPr>
                <w:sz w:val="15"/>
              </w:rPr>
              <w:t>Five aggregates analyzed as not fit to identify as permanent controlling self.</w:t>
            </w:r>
          </w:p>
        </w:tc>
      </w:tr>
      <w:tr>
        <w:trPr>
          <w:cantSplit/>
        </w:trPr>
        <w:tc>
          <w:tcPr>
            <w:tcW w:type="dxa" w:w="2088"/>
            <w:vAlign w:val="top"/>
            <w:tcMar>
              <w:top w:w="80" w:type="dxa"/>
              <w:start w:w="90" w:type="dxa"/>
              <w:bottom w:w="80" w:type="dxa"/>
              <w:end w:w="90" w:type="dxa"/>
            </w:tcMar>
          </w:tcPr>
          <w:p>
            <w:pPr>
              <w:spacing w:after="30"/>
            </w:pPr>
            <w:r>
              <w:rPr>
                <w:sz w:val="15"/>
              </w:rPr>
              <w:t>Later Buddhist traditions</w:t>
            </w:r>
          </w:p>
        </w:tc>
        <w:tc>
          <w:tcPr>
            <w:tcW w:type="dxa" w:w="2880"/>
            <w:vAlign w:val="top"/>
            <w:tcMar>
              <w:top w:w="80" w:type="dxa"/>
              <w:start w:w="90" w:type="dxa"/>
              <w:bottom w:w="80" w:type="dxa"/>
              <w:end w:w="90" w:type="dxa"/>
            </w:tcMar>
          </w:tcPr>
          <w:p>
            <w:pPr>
              <w:spacing w:after="30"/>
            </w:pPr>
            <w:r>
              <w:rPr>
                <w:sz w:val="15"/>
              </w:rPr>
              <w:t>Abhidharma, Mahayana, Vajrayana and regional schools</w:t>
            </w:r>
          </w:p>
        </w:tc>
        <w:tc>
          <w:tcPr>
            <w:tcW w:type="dxa" w:w="4824"/>
            <w:vAlign w:val="top"/>
            <w:tcMar>
              <w:top w:w="80" w:type="dxa"/>
              <w:start w:w="90" w:type="dxa"/>
              <w:bottom w:w="80" w:type="dxa"/>
              <w:end w:w="90" w:type="dxa"/>
            </w:tcMar>
          </w:tcPr>
          <w:p>
            <w:pPr>
              <w:spacing w:after="30"/>
            </w:pPr>
            <w:r>
              <w:rPr>
                <w:sz w:val="15"/>
              </w:rPr>
              <w:t>Philosophically rich developments that should not be projected wholesale onto earliest Buddhism.</w:t>
            </w:r>
          </w:p>
        </w:tc>
      </w:tr>
    </w:tbl>
    <w:p>
      <w:pPr>
        <w:pStyle w:val="Heading2"/>
      </w:pPr>
      <w:r>
        <w:t>Findings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4968"/>
            <w:shd w:fill="334155"/>
            <w:vAlign w:val="center"/>
            <w:tcMar>
              <w:top w:w="80" w:type="dxa"/>
              <w:start w:w="90" w:type="dxa"/>
              <w:bottom w:w="80" w:type="dxa"/>
              <w:end w:w="90" w:type="dxa"/>
            </w:tcMar>
          </w:tcPr>
          <w:p>
            <w:r>
              <w:rPr>
                <w:b/>
                <w:color w:val="FFFFFF"/>
                <w:sz w:val="15"/>
              </w:rPr>
              <w:t>Claim</w:t>
            </w:r>
          </w:p>
        </w:tc>
        <w:tc>
          <w:tcPr>
            <w:tcW w:type="dxa" w:w="1728"/>
            <w:shd w:fill="334155"/>
            <w:vAlign w:val="center"/>
            <w:tcMar>
              <w:top w:w="80" w:type="dxa"/>
              <w:start w:w="90" w:type="dxa"/>
              <w:bottom w:w="80" w:type="dxa"/>
              <w:end w:w="90" w:type="dxa"/>
            </w:tcMar>
          </w:tcPr>
          <w:p>
            <w:r>
              <w:rPr>
                <w:b/>
                <w:color w:val="FFFFFF"/>
                <w:sz w:val="15"/>
              </w:rPr>
              <w:t>Confidence</w:t>
            </w:r>
          </w:p>
        </w:tc>
        <w:tc>
          <w:tcPr>
            <w:tcW w:type="dxa" w:w="3096"/>
            <w:shd w:fill="334155"/>
            <w:vAlign w:val="center"/>
            <w:tcMar>
              <w:top w:w="80" w:type="dxa"/>
              <w:start w:w="90" w:type="dxa"/>
              <w:bottom w:w="80" w:type="dxa"/>
              <w:end w:w="90" w:type="dxa"/>
            </w:tcMar>
          </w:tcPr>
          <w:p>
            <w:r>
              <w:rPr>
                <w:b/>
                <w:color w:val="FFFFFF"/>
                <w:sz w:val="15"/>
              </w:rPr>
              <w:t>Research note</w:t>
            </w:r>
          </w:p>
        </w:tc>
      </w:tr>
      <w:tr>
        <w:trPr>
          <w:cantSplit/>
        </w:trPr>
        <w:tc>
          <w:tcPr>
            <w:tcW w:type="dxa" w:w="4968"/>
            <w:vAlign w:val="top"/>
            <w:tcMar>
              <w:top w:w="80" w:type="dxa"/>
              <w:start w:w="90" w:type="dxa"/>
              <w:bottom w:w="80" w:type="dxa"/>
              <w:end w:w="90" w:type="dxa"/>
            </w:tcMar>
          </w:tcPr>
          <w:p>
            <w:pPr>
              <w:spacing w:after="30"/>
            </w:pPr>
            <w:r>
              <w:rPr>
                <w:sz w:val="15"/>
              </w:rPr>
              <w:t>A historical teacher Gautama stands behind the Buddhist tradition.</w:t>
            </w:r>
          </w:p>
        </w:tc>
        <w:tc>
          <w:tcPr>
            <w:tcW w:type="dxa" w:w="1728"/>
            <w:vAlign w:val="top"/>
            <w:tcMar>
              <w:top w:w="80" w:type="dxa"/>
              <w:start w:w="90" w:type="dxa"/>
              <w:bottom w:w="80" w:type="dxa"/>
              <w:end w:w="90" w:type="dxa"/>
            </w:tcMar>
          </w:tcPr>
          <w:p>
            <w:pPr>
              <w:spacing w:after="30"/>
            </w:pPr>
            <w:r>
              <w:rPr>
                <w:sz w:val="15"/>
              </w:rPr>
              <w:t>Established</w:t>
            </w:r>
          </w:p>
        </w:tc>
        <w:tc>
          <w:tcPr>
            <w:tcW w:type="dxa" w:w="3096"/>
            <w:vAlign w:val="top"/>
            <w:tcMar>
              <w:top w:w="80" w:type="dxa"/>
              <w:start w:w="90" w:type="dxa"/>
              <w:bottom w:w="80" w:type="dxa"/>
              <w:end w:w="90" w:type="dxa"/>
            </w:tcMar>
          </w:tcPr>
          <w:p>
            <w:pPr>
              <w:spacing w:after="30"/>
            </w:pPr>
            <w:r>
              <w:rPr>
                <w:sz w:val="15"/>
              </w:rPr>
              <w:t>Exact dates remain debated; roughly fifth century BCE is common in current scholarship.</w:t>
            </w:r>
          </w:p>
        </w:tc>
      </w:tr>
      <w:tr>
        <w:trPr>
          <w:cantSplit/>
        </w:trPr>
        <w:tc>
          <w:tcPr>
            <w:tcW w:type="dxa" w:w="4968"/>
            <w:vAlign w:val="top"/>
            <w:tcMar>
              <w:top w:w="80" w:type="dxa"/>
              <w:start w:w="90" w:type="dxa"/>
              <w:bottom w:w="80" w:type="dxa"/>
              <w:end w:w="90" w:type="dxa"/>
            </w:tcMar>
            <w:shd w:fill="F8FAFC"/>
          </w:tcPr>
          <w:p>
            <w:pPr>
              <w:spacing w:after="30"/>
            </w:pPr>
            <w:r>
              <w:rPr>
                <w:sz w:val="15"/>
              </w:rPr>
              <w:t>The early liberation project centers on dukkha/suffering, its causal conditions, cessation, and a disciplined path.</w:t>
            </w:r>
          </w:p>
        </w:tc>
        <w:tc>
          <w:tcPr>
            <w:tcW w:type="dxa" w:w="1728"/>
            <w:vAlign w:val="top"/>
            <w:tcMar>
              <w:top w:w="80" w:type="dxa"/>
              <w:start w:w="90" w:type="dxa"/>
              <w:bottom w:w="80" w:type="dxa"/>
              <w:end w:w="90" w:type="dxa"/>
            </w:tcMar>
            <w:shd w:fill="F8FAFC"/>
          </w:tcPr>
          <w:p>
            <w:pPr>
              <w:spacing w:after="30"/>
            </w:pPr>
            <w:r>
              <w:rPr>
                <w:sz w:val="15"/>
              </w:rPr>
              <w:t>Established</w:t>
            </w:r>
          </w:p>
        </w:tc>
        <w:tc>
          <w:tcPr>
            <w:tcW w:type="dxa" w:w="3096"/>
            <w:vAlign w:val="top"/>
            <w:tcMar>
              <w:top w:w="80" w:type="dxa"/>
              <w:start w:w="90" w:type="dxa"/>
              <w:bottom w:w="80" w:type="dxa"/>
              <w:end w:w="90" w:type="dxa"/>
            </w:tcMar>
            <w:shd w:fill="F8FAFC"/>
          </w:tcPr>
          <w:p>
            <w:pPr>
              <w:spacing w:after="30"/>
            </w:pPr>
            <w:r>
              <w:rPr>
                <w:sz w:val="15"/>
              </w:rPr>
              <w:t>Attested across early sources.</w:t>
            </w:r>
          </w:p>
        </w:tc>
      </w:tr>
      <w:tr>
        <w:trPr>
          <w:cantSplit/>
        </w:trPr>
        <w:tc>
          <w:tcPr>
            <w:tcW w:type="dxa" w:w="4968"/>
            <w:vAlign w:val="top"/>
            <w:tcMar>
              <w:top w:w="80" w:type="dxa"/>
              <w:start w:w="90" w:type="dxa"/>
              <w:bottom w:w="80" w:type="dxa"/>
              <w:end w:w="90" w:type="dxa"/>
            </w:tcMar>
          </w:tcPr>
          <w:p>
            <w:pPr>
              <w:spacing w:after="30"/>
            </w:pPr>
            <w:r>
              <w:rPr>
                <w:sz w:val="15"/>
              </w:rPr>
              <w:t>Non-self is central to early Buddhist analysis of persons.</w:t>
            </w:r>
          </w:p>
        </w:tc>
        <w:tc>
          <w:tcPr>
            <w:tcW w:type="dxa" w:w="1728"/>
            <w:vAlign w:val="top"/>
            <w:tcMar>
              <w:top w:w="80" w:type="dxa"/>
              <w:start w:w="90" w:type="dxa"/>
              <w:bottom w:w="80" w:type="dxa"/>
              <w:end w:w="90" w:type="dxa"/>
            </w:tcMar>
          </w:tcPr>
          <w:p>
            <w:pPr>
              <w:spacing w:after="30"/>
            </w:pPr>
            <w:r>
              <w:rPr>
                <w:sz w:val="15"/>
              </w:rPr>
              <w:t>Established</w:t>
            </w:r>
          </w:p>
        </w:tc>
        <w:tc>
          <w:tcPr>
            <w:tcW w:type="dxa" w:w="3096"/>
            <w:vAlign w:val="top"/>
            <w:tcMar>
              <w:top w:w="80" w:type="dxa"/>
              <w:start w:w="90" w:type="dxa"/>
              <w:bottom w:w="80" w:type="dxa"/>
              <w:end w:w="90" w:type="dxa"/>
            </w:tcMar>
          </w:tcPr>
          <w:p>
            <w:pPr>
              <w:spacing w:after="30"/>
            </w:pPr>
            <w:r>
              <w:rPr>
                <w:sz w:val="15"/>
              </w:rPr>
              <w:t>Interpretation of precisely what is denied remains philosophically debated.</w:t>
            </w:r>
          </w:p>
        </w:tc>
      </w:tr>
      <w:tr>
        <w:trPr>
          <w:cantSplit/>
        </w:trPr>
        <w:tc>
          <w:tcPr>
            <w:tcW w:type="dxa" w:w="4968"/>
            <w:vAlign w:val="top"/>
            <w:tcMar>
              <w:top w:w="80" w:type="dxa"/>
              <w:start w:w="90" w:type="dxa"/>
              <w:bottom w:w="80" w:type="dxa"/>
              <w:end w:w="90" w:type="dxa"/>
            </w:tcMar>
            <w:shd w:fill="F8FAFC"/>
          </w:tcPr>
          <w:p>
            <w:pPr>
              <w:spacing w:after="30"/>
            </w:pPr>
            <w:r>
              <w:rPr>
                <w:sz w:val="15"/>
              </w:rPr>
              <w:t>Early Buddhism includes karma/rebirth language as part of its inherited and transformed framework.</w:t>
            </w:r>
          </w:p>
        </w:tc>
        <w:tc>
          <w:tcPr>
            <w:tcW w:type="dxa" w:w="1728"/>
            <w:vAlign w:val="top"/>
            <w:tcMar>
              <w:top w:w="80" w:type="dxa"/>
              <w:start w:w="90" w:type="dxa"/>
              <w:bottom w:w="80" w:type="dxa"/>
              <w:end w:w="90" w:type="dxa"/>
            </w:tcMar>
            <w:shd w:fill="F8FAFC"/>
          </w:tcPr>
          <w:p>
            <w:pPr>
              <w:spacing w:after="30"/>
            </w:pPr>
            <w:r>
              <w:rPr>
                <w:sz w:val="15"/>
              </w:rPr>
              <w:t>Established - Textual</w:t>
            </w:r>
          </w:p>
        </w:tc>
        <w:tc>
          <w:tcPr>
            <w:tcW w:type="dxa" w:w="3096"/>
            <w:vAlign w:val="top"/>
            <w:tcMar>
              <w:top w:w="80" w:type="dxa"/>
              <w:start w:w="90" w:type="dxa"/>
              <w:bottom w:w="80" w:type="dxa"/>
              <w:end w:w="90" w:type="dxa"/>
            </w:tcMar>
            <w:shd w:fill="F8FAFC"/>
          </w:tcPr>
          <w:p>
            <w:pPr>
              <w:spacing w:after="30"/>
            </w:pPr>
            <w:r>
              <w:rPr>
                <w:sz w:val="15"/>
              </w:rPr>
              <w:t>Whether rebirth is metaphysically true remains open for the Way.</w:t>
            </w:r>
          </w:p>
        </w:tc>
      </w:tr>
      <w:tr>
        <w:trPr>
          <w:cantSplit/>
        </w:trPr>
        <w:tc>
          <w:tcPr>
            <w:tcW w:type="dxa" w:w="4968"/>
            <w:vAlign w:val="top"/>
            <w:tcMar>
              <w:top w:w="80" w:type="dxa"/>
              <w:start w:w="90" w:type="dxa"/>
              <w:bottom w:w="80" w:type="dxa"/>
              <w:end w:w="90" w:type="dxa"/>
            </w:tcMar>
          </w:tcPr>
          <w:p>
            <w:pPr>
              <w:spacing w:after="30"/>
            </w:pPr>
            <w:r>
              <w:rPr>
                <w:sz w:val="15"/>
              </w:rPr>
              <w:t>The Buddha achieved a literally final liberation ending rebirth.</w:t>
            </w:r>
          </w:p>
        </w:tc>
        <w:tc>
          <w:tcPr>
            <w:tcW w:type="dxa" w:w="1728"/>
            <w:vAlign w:val="top"/>
            <w:tcMar>
              <w:top w:w="80" w:type="dxa"/>
              <w:start w:w="90" w:type="dxa"/>
              <w:bottom w:w="80" w:type="dxa"/>
              <w:end w:w="90" w:type="dxa"/>
            </w:tcMar>
          </w:tcPr>
          <w:p>
            <w:pPr>
              <w:spacing w:after="30"/>
            </w:pPr>
            <w:r>
              <w:rPr>
                <w:sz w:val="15"/>
              </w:rPr>
              <w:t>Open Question - Metaphysical</w:t>
            </w:r>
          </w:p>
        </w:tc>
        <w:tc>
          <w:tcPr>
            <w:tcW w:type="dxa" w:w="3096"/>
            <w:vAlign w:val="top"/>
            <w:tcMar>
              <w:top w:w="80" w:type="dxa"/>
              <w:start w:w="90" w:type="dxa"/>
              <w:bottom w:w="80" w:type="dxa"/>
              <w:end w:w="90" w:type="dxa"/>
            </w:tcMar>
          </w:tcPr>
          <w:p>
            <w:pPr>
              <w:spacing w:after="30"/>
            </w:pPr>
            <w:r>
              <w:rPr>
                <w:sz w:val="15"/>
              </w:rPr>
              <w:t>The historical fact of a liberation claim is distinct from metaphysical verification.</w:t>
            </w:r>
          </w:p>
        </w:tc>
      </w:tr>
      <w:tr>
        <w:trPr>
          <w:cantSplit/>
        </w:trPr>
        <w:tc>
          <w:tcPr>
            <w:tcW w:type="dxa" w:w="4968"/>
            <w:vAlign w:val="top"/>
            <w:tcMar>
              <w:top w:w="80" w:type="dxa"/>
              <w:start w:w="90" w:type="dxa"/>
              <w:bottom w:w="80" w:type="dxa"/>
              <w:end w:w="90" w:type="dxa"/>
            </w:tcMar>
            <w:shd w:fill="F8FAFC"/>
          </w:tcPr>
          <w:p>
            <w:pPr>
              <w:spacing w:after="30"/>
            </w:pPr>
            <w:r>
              <w:rPr>
                <w:sz w:val="15"/>
              </w:rPr>
              <w:t>Later concepts such as Madhyamaka emptiness or Buddha-nature can simply be attributed to the historical Buddha.</w:t>
            </w:r>
          </w:p>
        </w:tc>
        <w:tc>
          <w:tcPr>
            <w:tcW w:type="dxa" w:w="1728"/>
            <w:vAlign w:val="top"/>
            <w:tcMar>
              <w:top w:w="80" w:type="dxa"/>
              <w:start w:w="90" w:type="dxa"/>
              <w:bottom w:w="80" w:type="dxa"/>
              <w:end w:w="90" w:type="dxa"/>
            </w:tcMar>
            <w:shd w:fill="F8FAFC"/>
          </w:tcPr>
          <w:p>
            <w:pPr>
              <w:spacing w:after="30"/>
            </w:pPr>
            <w:r>
              <w:rPr>
                <w:sz w:val="15"/>
              </w:rPr>
              <w:t>Rejected as historically careless</w:t>
            </w:r>
          </w:p>
        </w:tc>
        <w:tc>
          <w:tcPr>
            <w:tcW w:type="dxa" w:w="3096"/>
            <w:vAlign w:val="top"/>
            <w:tcMar>
              <w:top w:w="80" w:type="dxa"/>
              <w:start w:w="90" w:type="dxa"/>
              <w:bottom w:w="80" w:type="dxa"/>
              <w:end w:w="90" w:type="dxa"/>
            </w:tcMar>
            <w:shd w:fill="F8FAFC"/>
          </w:tcPr>
          <w:p>
            <w:pPr>
              <w:spacing w:after="30"/>
            </w:pPr>
            <w:r>
              <w:rPr>
                <w:sz w:val="15"/>
              </w:rPr>
              <w:t>Later developments require their own provenance.</w:t>
            </w:r>
          </w:p>
        </w:tc>
      </w:tr>
    </w:tbl>
    <w:p>
      <w:pPr>
        <w:pStyle w:val="Heading2"/>
      </w:pPr>
      <w:r>
        <w:t>Major interpretations still in view</w:t>
      </w:r>
    </w:p>
    <w:p>
      <w:r>
        <w:rPr>
          <w:b/>
        </w:rPr>
        <w:t xml:space="preserve">Theravada early-text reading: </w:t>
      </w:r>
      <w:r>
        <w:t>Emphasizes Nikaya/Vinaya traditions and liberation through ethics, meditation, and wisdom.</w:t>
      </w:r>
    </w:p>
    <w:p>
      <w:r>
        <w:rPr>
          <w:b/>
        </w:rPr>
        <w:t xml:space="preserve">Mahayana developments: </w:t>
      </w:r>
      <w:r>
        <w:t>Reframe emptiness, bodhisattva ideals, Buddha bodies, and other doctrines through later corpora.</w:t>
      </w:r>
    </w:p>
    <w:p>
      <w:r>
        <w:rPr>
          <w:b/>
        </w:rPr>
        <w:t xml:space="preserve">Secular/psychological appropriations: </w:t>
      </w:r>
      <w:r>
        <w:t>Extract meditation and suffering analysis while bracketing karma/rebirth; useful but not identical with traditional Buddhism.</w:t>
      </w:r>
    </w:p>
    <w:p>
      <w:r>
        <w:rPr>
          <w:b/>
        </w:rPr>
        <w:t xml:space="preserve">Comparative theological reading: </w:t>
      </w:r>
      <w:r>
        <w:t>Treats Buddhist insight as a witness about attachment, selfhood, suffering, and contemplative knowledge without forcing it into a creator-God framework.</w:t>
      </w:r>
    </w:p>
    <w:p>
      <w:pPr>
        <w:pStyle w:val="Heading2"/>
      </w:pPr>
      <w:r>
        <w:t>Current Way posture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800"/>
            <w:shd w:fill="334155"/>
            <w:vAlign w:val="center"/>
            <w:tcMar>
              <w:top w:w="80" w:type="dxa"/>
              <w:start w:w="90" w:type="dxa"/>
              <w:bottom w:w="80" w:type="dxa"/>
              <w:end w:w="90" w:type="dxa"/>
            </w:tcMar>
          </w:tcPr>
          <w:p>
            <w:r>
              <w:rPr>
                <w:b/>
                <w:color w:val="FFFFFF"/>
                <w:sz w:val="16"/>
              </w:rPr>
              <w:t>Status</w:t>
            </w:r>
          </w:p>
        </w:tc>
        <w:tc>
          <w:tcPr>
            <w:tcW w:type="dxa" w:w="7992"/>
            <w:shd w:fill="334155"/>
            <w:vAlign w:val="center"/>
            <w:tcMar>
              <w:top w:w="80" w:type="dxa"/>
              <w:start w:w="90" w:type="dxa"/>
              <w:bottom w:w="80" w:type="dxa"/>
              <w:end w:w="90" w:type="dxa"/>
            </w:tcMar>
          </w:tcPr>
          <w:p>
            <w:r>
              <w:rPr>
                <w:b/>
                <w:color w:val="FFFFFF"/>
                <w:sz w:val="16"/>
              </w:rPr>
              <w:t>Current posture</w:t>
            </w:r>
          </w:p>
        </w:tc>
      </w:tr>
      <w:tr>
        <w:trPr>
          <w:cantSplit/>
        </w:trPr>
        <w:tc>
          <w:tcPr>
            <w:tcW w:type="dxa" w:w="1800"/>
            <w:vAlign w:val="top"/>
            <w:tcMar>
              <w:top w:w="80" w:type="dxa"/>
              <w:start w:w="90" w:type="dxa"/>
              <w:bottom w:w="80" w:type="dxa"/>
              <w:end w:w="90" w:type="dxa"/>
            </w:tcMar>
          </w:tcPr>
          <w:p>
            <w:pPr>
              <w:spacing w:after="30"/>
            </w:pPr>
            <w:r>
              <w:rPr>
                <w:sz w:val="16"/>
              </w:rPr>
              <w:t>Established</w:t>
            </w:r>
          </w:p>
        </w:tc>
        <w:tc>
          <w:tcPr>
            <w:tcW w:type="dxa" w:w="7992"/>
            <w:vAlign w:val="top"/>
            <w:tcMar>
              <w:top w:w="80" w:type="dxa"/>
              <w:start w:w="90" w:type="dxa"/>
              <w:bottom w:w="80" w:type="dxa"/>
              <w:end w:w="90" w:type="dxa"/>
            </w:tcMar>
          </w:tcPr>
          <w:p>
            <w:pPr>
              <w:spacing w:after="30"/>
            </w:pPr>
            <w:r>
              <w:rPr>
                <w:sz w:val="16"/>
              </w:rPr>
              <w:t>The Buddha is a major witness to disciplined inquiry into suffering, desire, attention, selfhood, and liberation.</w:t>
            </w:r>
          </w:p>
        </w:tc>
      </w:tr>
      <w:tr>
        <w:trPr>
          <w:cantSplit/>
        </w:trPr>
        <w:tc>
          <w:tcPr>
            <w:tcW w:type="dxa" w:w="1800"/>
            <w:vAlign w:val="top"/>
            <w:tcMar>
              <w:top w:w="80" w:type="dxa"/>
              <w:start w:w="90" w:type="dxa"/>
              <w:bottom w:w="80" w:type="dxa"/>
              <w:end w:w="90" w:type="dxa"/>
            </w:tcMar>
            <w:shd w:fill="F8FAFC"/>
          </w:tcPr>
          <w:p>
            <w:pPr>
              <w:spacing w:after="30"/>
            </w:pPr>
            <w:r>
              <w:rPr>
                <w:sz w:val="16"/>
              </w:rPr>
              <w:t>Well-Supported</w:t>
            </w:r>
          </w:p>
        </w:tc>
        <w:tc>
          <w:tcPr>
            <w:tcW w:type="dxa" w:w="7992"/>
            <w:vAlign w:val="top"/>
            <w:tcMar>
              <w:top w:w="80" w:type="dxa"/>
              <w:start w:w="90" w:type="dxa"/>
              <w:bottom w:w="80" w:type="dxa"/>
              <w:end w:w="90" w:type="dxa"/>
            </w:tcMar>
            <w:shd w:fill="F8FAFC"/>
          </w:tcPr>
          <w:p>
            <w:pPr>
              <w:spacing w:after="30"/>
            </w:pPr>
            <w:r>
              <w:rPr>
                <w:sz w:val="16"/>
              </w:rPr>
              <w:t>Practices of ethical restraint, attention, meditation, and examination of craving deserve experimental and comparative study.</w:t>
            </w:r>
          </w:p>
        </w:tc>
      </w:tr>
      <w:tr>
        <w:trPr>
          <w:cantSplit/>
        </w:trPr>
        <w:tc>
          <w:tcPr>
            <w:tcW w:type="dxa" w:w="1800"/>
            <w:vAlign w:val="top"/>
            <w:tcMar>
              <w:top w:w="80" w:type="dxa"/>
              <w:start w:w="90" w:type="dxa"/>
              <w:bottom w:w="80" w:type="dxa"/>
              <w:end w:w="90" w:type="dxa"/>
            </w:tcMar>
          </w:tcPr>
          <w:p>
            <w:pPr>
              <w:spacing w:after="30"/>
            </w:pPr>
            <w:r>
              <w:rPr>
                <w:sz w:val="16"/>
              </w:rPr>
              <w:t>Open Question</w:t>
            </w:r>
          </w:p>
        </w:tc>
        <w:tc>
          <w:tcPr>
            <w:tcW w:type="dxa" w:w="7992"/>
            <w:vAlign w:val="top"/>
            <w:tcMar>
              <w:top w:w="80" w:type="dxa"/>
              <w:start w:w="90" w:type="dxa"/>
              <w:bottom w:w="80" w:type="dxa"/>
              <w:end w:w="90" w:type="dxa"/>
            </w:tcMar>
          </w:tcPr>
          <w:p>
            <w:pPr>
              <w:spacing w:after="30"/>
            </w:pPr>
            <w:r>
              <w:rPr>
                <w:sz w:val="16"/>
              </w:rPr>
              <w:t>Rebirth, karma across lives, nirvana's metaphysical nature, and whether non-self is ultimately compatible with soul or resurrection models.</w:t>
            </w:r>
          </w:p>
        </w:tc>
      </w:tr>
      <w:tr>
        <w:trPr>
          <w:cantSplit/>
        </w:trPr>
        <w:tc>
          <w:tcPr>
            <w:tcW w:type="dxa" w:w="1800"/>
            <w:vAlign w:val="top"/>
            <w:tcMar>
              <w:top w:w="80" w:type="dxa"/>
              <w:start w:w="90" w:type="dxa"/>
              <w:bottom w:w="80" w:type="dxa"/>
              <w:end w:w="90" w:type="dxa"/>
            </w:tcMar>
            <w:shd w:fill="F8FAFC"/>
          </w:tcPr>
          <w:p>
            <w:pPr>
              <w:spacing w:after="30"/>
            </w:pPr>
            <w:r>
              <w:rPr>
                <w:sz w:val="16"/>
              </w:rPr>
              <w:t>Safeguard</w:t>
            </w:r>
          </w:p>
        </w:tc>
        <w:tc>
          <w:tcPr>
            <w:tcW w:type="dxa" w:w="7992"/>
            <w:vAlign w:val="top"/>
            <w:tcMar>
              <w:top w:w="80" w:type="dxa"/>
              <w:start w:w="90" w:type="dxa"/>
              <w:bottom w:w="80" w:type="dxa"/>
              <w:end w:w="90" w:type="dxa"/>
            </w:tcMar>
            <w:shd w:fill="F8FAFC"/>
          </w:tcPr>
          <w:p>
            <w:pPr>
              <w:spacing w:after="30"/>
            </w:pPr>
            <w:r>
              <w:rPr>
                <w:sz w:val="16"/>
              </w:rPr>
              <w:t>Buddhist testimony is studied in its own categories before any synthesis with Abrahamic theology.</w:t>
            </w:r>
          </w:p>
        </w:tc>
      </w:tr>
    </w:tbl>
    <w:p>
      <w:pPr>
        <w:pStyle w:val="Heading2"/>
      </w:pPr>
      <w:r>
        <w:t>What would materially change confidence?</w:t>
      </w:r>
    </w:p>
    <w:p>
      <w:pPr>
        <w:pStyle w:val="ListBullet"/>
      </w:pPr>
      <w:r>
        <w:t>Earlier textual parallels or manuscript discoveries that materially change the reconstruction of early strata.</w:t>
      </w:r>
    </w:p>
    <w:p>
      <w:pPr>
        <w:pStyle w:val="ListBullet"/>
      </w:pPr>
      <w:r>
        <w:t>Better philosophical accounts of personal identity, consciousness, and continuity that engage Buddhist arguments directly.</w:t>
      </w:r>
    </w:p>
    <w:p>
      <w:pPr>
        <w:pStyle w:val="ListBullet"/>
      </w:pPr>
      <w:r>
        <w:t>Empirical evidence relevant to contemplative claims, while avoiding the mistake that therapeutic effects prove all Buddhist metaphysics.</w:t>
      </w:r>
    </w:p>
    <w:p>
      <w:pPr>
        <w:pStyle w:val="Heading2"/>
      </w:pPr>
      <w:r>
        <w:t>Next research questions</w:t>
      </w:r>
    </w:p>
    <w:p>
      <w:pPr>
        <w:pStyle w:val="ListBullet"/>
      </w:pPr>
      <w:r>
        <w:t>What exactly does anatta deny?</w:t>
      </w:r>
    </w:p>
    <w:p>
      <w:pPr>
        <w:pStyle w:val="ListBullet"/>
      </w:pPr>
      <w:r>
        <w:t>How should dependent arising be interpreted across early strata?</w:t>
      </w:r>
    </w:p>
    <w:p>
      <w:pPr>
        <w:pStyle w:val="ListBullet"/>
      </w:pPr>
      <w:r>
        <w:t>Which meditation claims are phenomenologically reproducible?</w:t>
      </w:r>
    </w:p>
    <w:p>
      <w:pPr>
        <w:pStyle w:val="ListBullet"/>
      </w:pPr>
      <w:r>
        <w:t>How should karma/rebirth claims be evaluated without dismissing or presupposing them?</w:t>
      </w:r>
    </w:p>
    <w:p>
      <w:pPr>
        <w:pStyle w:val="Heading1"/>
        <w:pageBreakBefore/>
      </w:pPr>
      <w:r>
        <w:t>TQ-006 - Scripture / Canon / Authority</w:t>
      </w:r>
    </w:p>
    <w:tbl>
      <w:tblPr>
        <w:tblStyle w:val="TableGrid"/>
        <w:tblW w:type="auto" w:w="0"/>
        <w:tblLook w:firstColumn="1" w:firstRow="1" w:lastColumn="0" w:lastRow="0" w:noHBand="0" w:noVBand="1" w:val="04A0"/>
      </w:tblPr>
      <w:tblGrid>
        <w:gridCol w:w="9994"/>
      </w:tblGrid>
      <w:tr>
        <w:trPr>
          <w:tblHeader w:val="true"/>
        </w:trPr>
        <w:tc>
          <w:tcPr>
            <w:tcW w:type="dxa" w:w="9994"/>
            <w:shd w:fill="F8FAFC"/>
            <w:tcMar>
              <w:top w:w="130" w:type="dxa"/>
              <w:start w:w="160" w:type="dxa"/>
              <w:bottom w:w="130" w:type="dxa"/>
              <w:end w:w="160" w:type="dxa"/>
            </w:tcMar>
          </w:tcPr>
          <w:p>
            <w:r>
              <w:rPr>
                <w:b/>
                <w:color w:val="334155"/>
              </w:rPr>
              <w:t>Research question</w:t>
              <w:br/>
            </w:r>
            <w:r>
              <w:t>What makes a text scripture, how do canons form, and should the Way have a canon?</w:t>
            </w:r>
          </w:p>
        </w:tc>
      </w:tr>
    </w:tbl>
    <w:p>
      <w:r>
        <w:t>The comparative record shows that scripture and canon are historically mediated categories. Jewish authoritative literature developed over time and Second Temple evidence shows graded authority; the New Testament canon formed gradually with core collections and later disputed books; Qur'anic collection and reading traditions have their own early history; Buddhist traditions preserve multiple canons in different languages; Sikh tradition offers a different model in which the Guru Granth Sahib itself holds living scriptural/Guru authority. These mechanisms cannot be collapsed into one theory of inspiration.</w:t>
      </w:r>
    </w:p>
    <w:p>
      <w:pPr>
        <w:pStyle w:val="Heading2"/>
      </w:pPr>
      <w:r>
        <w:t>Witness map</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shd w:fill="334155"/>
            <w:vAlign w:val="center"/>
            <w:tcMar>
              <w:top w:w="80" w:type="dxa"/>
              <w:start w:w="90" w:type="dxa"/>
              <w:bottom w:w="80" w:type="dxa"/>
              <w:end w:w="90" w:type="dxa"/>
            </w:tcMar>
          </w:tcPr>
          <w:p>
            <w:r>
              <w:rPr>
                <w:b/>
                <w:color w:val="FFFFFF"/>
                <w:sz w:val="15"/>
              </w:rPr>
              <w:t>Witness</w:t>
            </w:r>
          </w:p>
        </w:tc>
        <w:tc>
          <w:tcPr>
            <w:tcW w:type="dxa" w:w="2880"/>
            <w:shd w:fill="334155"/>
            <w:vAlign w:val="center"/>
            <w:tcMar>
              <w:top w:w="80" w:type="dxa"/>
              <w:start w:w="90" w:type="dxa"/>
              <w:bottom w:w="80" w:type="dxa"/>
              <w:end w:w="90" w:type="dxa"/>
            </w:tcMar>
          </w:tcPr>
          <w:p>
            <w:r>
              <w:rPr>
                <w:b/>
                <w:color w:val="FFFFFF"/>
                <w:sz w:val="15"/>
              </w:rPr>
              <w:t>Source / corpus</w:t>
            </w:r>
          </w:p>
        </w:tc>
        <w:tc>
          <w:tcPr>
            <w:tcW w:type="dxa" w:w="4824"/>
            <w:shd w:fill="334155"/>
            <w:vAlign w:val="center"/>
            <w:tcMar>
              <w:top w:w="80" w:type="dxa"/>
              <w:start w:w="90" w:type="dxa"/>
              <w:bottom w:w="80" w:type="dxa"/>
              <w:end w:w="90" w:type="dxa"/>
            </w:tcMar>
          </w:tcPr>
          <w:p>
            <w:r>
              <w:rPr>
                <w:b/>
                <w:color w:val="FFFFFF"/>
                <w:sz w:val="15"/>
              </w:rPr>
              <w:t>Research use</w:t>
            </w:r>
          </w:p>
        </w:tc>
      </w:tr>
      <w:tr>
        <w:trPr>
          <w:cantSplit/>
        </w:trPr>
        <w:tc>
          <w:tcPr>
            <w:tcW w:type="dxa" w:w="2088"/>
            <w:vAlign w:val="top"/>
            <w:tcMar>
              <w:top w:w="80" w:type="dxa"/>
              <w:start w:w="90" w:type="dxa"/>
              <w:bottom w:w="80" w:type="dxa"/>
              <w:end w:w="90" w:type="dxa"/>
            </w:tcMar>
          </w:tcPr>
          <w:p>
            <w:pPr>
              <w:spacing w:after="30"/>
            </w:pPr>
            <w:r>
              <w:rPr>
                <w:sz w:val="15"/>
              </w:rPr>
              <w:t>Jewish textual history</w:t>
            </w:r>
          </w:p>
        </w:tc>
        <w:tc>
          <w:tcPr>
            <w:tcW w:type="dxa" w:w="2880"/>
            <w:vAlign w:val="top"/>
            <w:tcMar>
              <w:top w:w="80" w:type="dxa"/>
              <w:start w:w="90" w:type="dxa"/>
              <w:bottom w:w="80" w:type="dxa"/>
              <w:end w:w="90" w:type="dxa"/>
            </w:tcMar>
          </w:tcPr>
          <w:p>
            <w:pPr>
              <w:spacing w:after="30"/>
            </w:pPr>
            <w:r>
              <w:rPr>
                <w:sz w:val="15"/>
              </w:rPr>
              <w:t>Torah, Prophets, Writings; Dead Sea Scrolls</w:t>
            </w:r>
          </w:p>
        </w:tc>
        <w:tc>
          <w:tcPr>
            <w:tcW w:type="dxa" w:w="4824"/>
            <w:vAlign w:val="top"/>
            <w:tcMar>
              <w:top w:w="80" w:type="dxa"/>
              <w:start w:w="90" w:type="dxa"/>
              <w:bottom w:w="80" w:type="dxa"/>
              <w:end w:w="90" w:type="dxa"/>
            </w:tcMar>
          </w:tcPr>
          <w:p>
            <w:pPr>
              <w:spacing w:after="30"/>
            </w:pPr>
            <w:r>
              <w:rPr>
                <w:sz w:val="15"/>
              </w:rPr>
              <w:t>Shows authority, interpretation, and eventual canonization as historically layered.</w:t>
            </w:r>
          </w:p>
        </w:tc>
      </w:tr>
      <w:tr>
        <w:trPr>
          <w:cantSplit/>
        </w:trPr>
        <w:tc>
          <w:tcPr>
            <w:tcW w:type="dxa" w:w="2088"/>
            <w:vAlign w:val="top"/>
            <w:tcMar>
              <w:top w:w="80" w:type="dxa"/>
              <w:start w:w="90" w:type="dxa"/>
              <w:bottom w:w="80" w:type="dxa"/>
              <w:end w:w="90" w:type="dxa"/>
            </w:tcMar>
            <w:shd w:fill="F8FAFC"/>
          </w:tcPr>
          <w:p>
            <w:pPr>
              <w:spacing w:after="30"/>
            </w:pPr>
            <w:r>
              <w:rPr>
                <w:sz w:val="15"/>
              </w:rPr>
              <w:t>Christian textual history</w:t>
            </w:r>
          </w:p>
        </w:tc>
        <w:tc>
          <w:tcPr>
            <w:tcW w:type="dxa" w:w="2880"/>
            <w:vAlign w:val="top"/>
            <w:tcMar>
              <w:top w:w="80" w:type="dxa"/>
              <w:start w:w="90" w:type="dxa"/>
              <w:bottom w:w="80" w:type="dxa"/>
              <w:end w:w="90" w:type="dxa"/>
            </w:tcMar>
            <w:shd w:fill="F8FAFC"/>
          </w:tcPr>
          <w:p>
            <w:pPr>
              <w:spacing w:after="30"/>
            </w:pPr>
            <w:r>
              <w:rPr>
                <w:sz w:val="15"/>
              </w:rPr>
              <w:t>Gospels, Pauline letters, catholic epistles, Acts, Revelation, extracanonical literature</w:t>
            </w:r>
          </w:p>
        </w:tc>
        <w:tc>
          <w:tcPr>
            <w:tcW w:type="dxa" w:w="4824"/>
            <w:vAlign w:val="top"/>
            <w:tcMar>
              <w:top w:w="80" w:type="dxa"/>
              <w:start w:w="90" w:type="dxa"/>
              <w:bottom w:w="80" w:type="dxa"/>
              <w:end w:w="90" w:type="dxa"/>
            </w:tcMar>
            <w:shd w:fill="F8FAFC"/>
          </w:tcPr>
          <w:p>
            <w:pPr>
              <w:spacing w:after="30"/>
            </w:pPr>
            <w:r>
              <w:rPr>
                <w:sz w:val="15"/>
              </w:rPr>
              <w:t>Core texts circulated early while disputed boundaries stabilized over centuries.</w:t>
            </w:r>
          </w:p>
        </w:tc>
      </w:tr>
      <w:tr>
        <w:trPr>
          <w:cantSplit/>
        </w:trPr>
        <w:tc>
          <w:tcPr>
            <w:tcW w:type="dxa" w:w="2088"/>
            <w:vAlign w:val="top"/>
            <w:tcMar>
              <w:top w:w="80" w:type="dxa"/>
              <w:start w:w="90" w:type="dxa"/>
              <w:bottom w:w="80" w:type="dxa"/>
              <w:end w:w="90" w:type="dxa"/>
            </w:tcMar>
          </w:tcPr>
          <w:p>
            <w:pPr>
              <w:spacing w:after="30"/>
            </w:pPr>
            <w:r>
              <w:rPr>
                <w:sz w:val="15"/>
              </w:rPr>
              <w:t>Qur'anic textual history</w:t>
            </w:r>
          </w:p>
        </w:tc>
        <w:tc>
          <w:tcPr>
            <w:tcW w:type="dxa" w:w="2880"/>
            <w:vAlign w:val="top"/>
            <w:tcMar>
              <w:top w:w="80" w:type="dxa"/>
              <w:start w:w="90" w:type="dxa"/>
              <w:bottom w:w="80" w:type="dxa"/>
              <w:end w:w="90" w:type="dxa"/>
            </w:tcMar>
          </w:tcPr>
          <w:p>
            <w:pPr>
              <w:spacing w:after="30"/>
            </w:pPr>
            <w:r>
              <w:rPr>
                <w:sz w:val="15"/>
              </w:rPr>
              <w:t>Recitation, collection, consonantal text, canonical readings</w:t>
            </w:r>
          </w:p>
        </w:tc>
        <w:tc>
          <w:tcPr>
            <w:tcW w:type="dxa" w:w="4824"/>
            <w:vAlign w:val="top"/>
            <w:tcMar>
              <w:top w:w="80" w:type="dxa"/>
              <w:start w:w="90" w:type="dxa"/>
              <w:bottom w:w="80" w:type="dxa"/>
              <w:end w:w="90" w:type="dxa"/>
            </w:tcMar>
          </w:tcPr>
          <w:p>
            <w:pPr>
              <w:spacing w:after="30"/>
            </w:pPr>
            <w:r>
              <w:rPr>
                <w:sz w:val="15"/>
              </w:rPr>
              <w:t>Distinct model centered on a single revealed corpus with oral/written transmission and recognized readings.</w:t>
            </w:r>
          </w:p>
        </w:tc>
      </w:tr>
      <w:tr>
        <w:trPr>
          <w:cantSplit/>
        </w:trPr>
        <w:tc>
          <w:tcPr>
            <w:tcW w:type="dxa" w:w="2088"/>
            <w:vAlign w:val="top"/>
            <w:tcMar>
              <w:top w:w="80" w:type="dxa"/>
              <w:start w:w="90" w:type="dxa"/>
              <w:bottom w:w="80" w:type="dxa"/>
              <w:end w:w="90" w:type="dxa"/>
            </w:tcMar>
            <w:shd w:fill="F8FAFC"/>
          </w:tcPr>
          <w:p>
            <w:pPr>
              <w:spacing w:after="30"/>
            </w:pPr>
            <w:r>
              <w:rPr>
                <w:sz w:val="15"/>
              </w:rPr>
              <w:t>Buddhist canons</w:t>
            </w:r>
          </w:p>
        </w:tc>
        <w:tc>
          <w:tcPr>
            <w:tcW w:type="dxa" w:w="2880"/>
            <w:vAlign w:val="top"/>
            <w:tcMar>
              <w:top w:w="80" w:type="dxa"/>
              <w:start w:w="90" w:type="dxa"/>
              <w:bottom w:w="80" w:type="dxa"/>
              <w:end w:w="90" w:type="dxa"/>
            </w:tcMar>
            <w:shd w:fill="F8FAFC"/>
          </w:tcPr>
          <w:p>
            <w:pPr>
              <w:spacing w:after="30"/>
            </w:pPr>
            <w:r>
              <w:rPr>
                <w:sz w:val="15"/>
              </w:rPr>
              <w:t>Pali, Sanskrit fragments, Chinese and Tibetan collections</w:t>
            </w:r>
          </w:p>
        </w:tc>
        <w:tc>
          <w:tcPr>
            <w:tcW w:type="dxa" w:w="4824"/>
            <w:vAlign w:val="top"/>
            <w:tcMar>
              <w:top w:w="80" w:type="dxa"/>
              <w:start w:w="90" w:type="dxa"/>
              <w:bottom w:w="80" w:type="dxa"/>
              <w:end w:w="90" w:type="dxa"/>
            </w:tcMar>
            <w:shd w:fill="F8FAFC"/>
          </w:tcPr>
          <w:p>
            <w:pPr>
              <w:spacing w:after="30"/>
            </w:pPr>
            <w:r>
              <w:rPr>
                <w:sz w:val="15"/>
              </w:rPr>
              <w:t>Plural canonical lineages; early-text reconstruction often compares parallels across schools/languages.</w:t>
            </w:r>
          </w:p>
        </w:tc>
      </w:tr>
      <w:tr>
        <w:trPr>
          <w:cantSplit/>
        </w:trPr>
        <w:tc>
          <w:tcPr>
            <w:tcW w:type="dxa" w:w="2088"/>
            <w:vAlign w:val="top"/>
            <w:tcMar>
              <w:top w:w="80" w:type="dxa"/>
              <w:start w:w="90" w:type="dxa"/>
              <w:bottom w:w="80" w:type="dxa"/>
              <w:end w:w="90" w:type="dxa"/>
            </w:tcMar>
          </w:tcPr>
          <w:p>
            <w:pPr>
              <w:spacing w:after="30"/>
            </w:pPr>
            <w:r>
              <w:rPr>
                <w:sz w:val="15"/>
              </w:rPr>
              <w:t>Sikh scripture</w:t>
            </w:r>
          </w:p>
        </w:tc>
        <w:tc>
          <w:tcPr>
            <w:tcW w:type="dxa" w:w="2880"/>
            <w:vAlign w:val="top"/>
            <w:tcMar>
              <w:top w:w="80" w:type="dxa"/>
              <w:start w:w="90" w:type="dxa"/>
              <w:bottom w:w="80" w:type="dxa"/>
              <w:end w:w="90" w:type="dxa"/>
            </w:tcMar>
          </w:tcPr>
          <w:p>
            <w:pPr>
              <w:spacing w:after="30"/>
            </w:pPr>
            <w:r>
              <w:rPr>
                <w:sz w:val="15"/>
              </w:rPr>
              <w:t>Guru Granth Sahib</w:t>
            </w:r>
          </w:p>
        </w:tc>
        <w:tc>
          <w:tcPr>
            <w:tcW w:type="dxa" w:w="4824"/>
            <w:vAlign w:val="top"/>
            <w:tcMar>
              <w:top w:w="80" w:type="dxa"/>
              <w:start w:w="90" w:type="dxa"/>
              <w:bottom w:w="80" w:type="dxa"/>
              <w:end w:w="90" w:type="dxa"/>
            </w:tcMar>
          </w:tcPr>
          <w:p>
            <w:pPr>
              <w:spacing w:after="30"/>
            </w:pPr>
            <w:r>
              <w:rPr>
                <w:sz w:val="15"/>
              </w:rPr>
              <w:t>Distinctive model of scripture bearing continuing Guru authority within Sikh tradition and containing compositions from multiple voices.</w:t>
            </w:r>
          </w:p>
        </w:tc>
      </w:tr>
    </w:tbl>
    <w:p>
      <w:pPr>
        <w:pStyle w:val="Heading2"/>
      </w:pPr>
      <w:r>
        <w:t>Findings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4968"/>
            <w:shd w:fill="334155"/>
            <w:vAlign w:val="center"/>
            <w:tcMar>
              <w:top w:w="80" w:type="dxa"/>
              <w:start w:w="90" w:type="dxa"/>
              <w:bottom w:w="80" w:type="dxa"/>
              <w:end w:w="90" w:type="dxa"/>
            </w:tcMar>
          </w:tcPr>
          <w:p>
            <w:r>
              <w:rPr>
                <w:b/>
                <w:color w:val="FFFFFF"/>
                <w:sz w:val="15"/>
              </w:rPr>
              <w:t>Claim</w:t>
            </w:r>
          </w:p>
        </w:tc>
        <w:tc>
          <w:tcPr>
            <w:tcW w:type="dxa" w:w="1728"/>
            <w:shd w:fill="334155"/>
            <w:vAlign w:val="center"/>
            <w:tcMar>
              <w:top w:w="80" w:type="dxa"/>
              <w:start w:w="90" w:type="dxa"/>
              <w:bottom w:w="80" w:type="dxa"/>
              <w:end w:w="90" w:type="dxa"/>
            </w:tcMar>
          </w:tcPr>
          <w:p>
            <w:r>
              <w:rPr>
                <w:b/>
                <w:color w:val="FFFFFF"/>
                <w:sz w:val="15"/>
              </w:rPr>
              <w:t>Confidence</w:t>
            </w:r>
          </w:p>
        </w:tc>
        <w:tc>
          <w:tcPr>
            <w:tcW w:type="dxa" w:w="3096"/>
            <w:shd w:fill="334155"/>
            <w:vAlign w:val="center"/>
            <w:tcMar>
              <w:top w:w="80" w:type="dxa"/>
              <w:start w:w="90" w:type="dxa"/>
              <w:bottom w:w="80" w:type="dxa"/>
              <w:end w:w="90" w:type="dxa"/>
            </w:tcMar>
          </w:tcPr>
          <w:p>
            <w:r>
              <w:rPr>
                <w:b/>
                <w:color w:val="FFFFFF"/>
                <w:sz w:val="15"/>
              </w:rPr>
              <w:t>Research note</w:t>
            </w:r>
          </w:p>
        </w:tc>
      </w:tr>
      <w:tr>
        <w:trPr>
          <w:cantSplit/>
        </w:trPr>
        <w:tc>
          <w:tcPr>
            <w:tcW w:type="dxa" w:w="4968"/>
            <w:vAlign w:val="top"/>
            <w:tcMar>
              <w:top w:w="80" w:type="dxa"/>
              <w:start w:w="90" w:type="dxa"/>
              <w:bottom w:w="80" w:type="dxa"/>
              <w:end w:w="90" w:type="dxa"/>
            </w:tcMar>
          </w:tcPr>
          <w:p>
            <w:pPr>
              <w:spacing w:after="30"/>
            </w:pPr>
            <w:r>
              <w:rPr>
                <w:sz w:val="15"/>
              </w:rPr>
              <w:t>A text calling itself sacred does not by itself establish its own canon status.</w:t>
            </w:r>
          </w:p>
        </w:tc>
        <w:tc>
          <w:tcPr>
            <w:tcW w:type="dxa" w:w="1728"/>
            <w:vAlign w:val="top"/>
            <w:tcMar>
              <w:top w:w="80" w:type="dxa"/>
              <w:start w:w="90" w:type="dxa"/>
              <w:bottom w:w="80" w:type="dxa"/>
              <w:end w:w="90" w:type="dxa"/>
            </w:tcMar>
          </w:tcPr>
          <w:p>
            <w:pPr>
              <w:spacing w:after="30"/>
            </w:pPr>
            <w:r>
              <w:rPr>
                <w:sz w:val="15"/>
              </w:rPr>
              <w:t>Established</w:t>
            </w:r>
          </w:p>
        </w:tc>
        <w:tc>
          <w:tcPr>
            <w:tcW w:type="dxa" w:w="3096"/>
            <w:vAlign w:val="top"/>
            <w:tcMar>
              <w:top w:w="80" w:type="dxa"/>
              <w:start w:w="90" w:type="dxa"/>
              <w:bottom w:w="80" w:type="dxa"/>
              <w:end w:w="90" w:type="dxa"/>
            </w:tcMar>
          </w:tcPr>
          <w:p>
            <w:pPr>
              <w:spacing w:after="30"/>
            </w:pPr>
            <w:r>
              <w:rPr>
                <w:sz w:val="15"/>
              </w:rPr>
              <w:t>Canon is also a community/institutional reception category.</w:t>
            </w:r>
          </w:p>
        </w:tc>
      </w:tr>
      <w:tr>
        <w:trPr>
          <w:cantSplit/>
        </w:trPr>
        <w:tc>
          <w:tcPr>
            <w:tcW w:type="dxa" w:w="4968"/>
            <w:vAlign w:val="top"/>
            <w:tcMar>
              <w:top w:w="80" w:type="dxa"/>
              <w:start w:w="90" w:type="dxa"/>
              <w:bottom w:w="80" w:type="dxa"/>
              <w:end w:w="90" w:type="dxa"/>
            </w:tcMar>
            <w:shd w:fill="F8FAFC"/>
          </w:tcPr>
          <w:p>
            <w:pPr>
              <w:spacing w:after="30"/>
            </w:pPr>
            <w:r>
              <w:rPr>
                <w:sz w:val="15"/>
              </w:rPr>
              <w:t>Jewish and Christian canon formation was historically gradual rather than a single universally recognized list from the beginning.</w:t>
            </w:r>
          </w:p>
        </w:tc>
        <w:tc>
          <w:tcPr>
            <w:tcW w:type="dxa" w:w="1728"/>
            <w:vAlign w:val="top"/>
            <w:tcMar>
              <w:top w:w="80" w:type="dxa"/>
              <w:start w:w="90" w:type="dxa"/>
              <w:bottom w:w="80" w:type="dxa"/>
              <w:end w:w="90" w:type="dxa"/>
            </w:tcMar>
            <w:shd w:fill="F8FAFC"/>
          </w:tcPr>
          <w:p>
            <w:pPr>
              <w:spacing w:after="30"/>
            </w:pPr>
            <w:r>
              <w:rPr>
                <w:sz w:val="15"/>
              </w:rPr>
              <w:t>Established</w:t>
            </w:r>
          </w:p>
        </w:tc>
        <w:tc>
          <w:tcPr>
            <w:tcW w:type="dxa" w:w="3096"/>
            <w:vAlign w:val="top"/>
            <w:tcMar>
              <w:top w:w="80" w:type="dxa"/>
              <w:start w:w="90" w:type="dxa"/>
              <w:bottom w:w="80" w:type="dxa"/>
              <w:end w:w="90" w:type="dxa"/>
            </w:tcMar>
            <w:shd w:fill="F8FAFC"/>
          </w:tcPr>
          <w:p>
            <w:pPr>
              <w:spacing w:after="30"/>
            </w:pPr>
            <w:r>
              <w:rPr>
                <w:sz w:val="15"/>
              </w:rPr>
              <w:t>Specific dates/boundaries require tradition-sensitive nuance.</w:t>
            </w:r>
          </w:p>
        </w:tc>
      </w:tr>
      <w:tr>
        <w:trPr>
          <w:cantSplit/>
        </w:trPr>
        <w:tc>
          <w:tcPr>
            <w:tcW w:type="dxa" w:w="4968"/>
            <w:vAlign w:val="top"/>
            <w:tcMar>
              <w:top w:w="80" w:type="dxa"/>
              <w:start w:w="90" w:type="dxa"/>
              <w:bottom w:w="80" w:type="dxa"/>
              <w:end w:w="90" w:type="dxa"/>
            </w:tcMar>
          </w:tcPr>
          <w:p>
            <w:pPr>
              <w:spacing w:after="30"/>
            </w:pPr>
            <w:r>
              <w:rPr>
                <w:sz w:val="15"/>
              </w:rPr>
              <w:t>Second Temple Jewish evidence can reflect graded levels of authoritative literature.</w:t>
            </w:r>
          </w:p>
        </w:tc>
        <w:tc>
          <w:tcPr>
            <w:tcW w:type="dxa" w:w="1728"/>
            <w:vAlign w:val="top"/>
            <w:tcMar>
              <w:top w:w="80" w:type="dxa"/>
              <w:start w:w="90" w:type="dxa"/>
              <w:bottom w:w="80" w:type="dxa"/>
              <w:end w:w="90" w:type="dxa"/>
            </w:tcMar>
          </w:tcPr>
          <w:p>
            <w:pPr>
              <w:spacing w:after="30"/>
            </w:pPr>
            <w:r>
              <w:rPr>
                <w:sz w:val="15"/>
              </w:rPr>
              <w:t>Well-Supported</w:t>
            </w:r>
          </w:p>
        </w:tc>
        <w:tc>
          <w:tcPr>
            <w:tcW w:type="dxa" w:w="3096"/>
            <w:vAlign w:val="top"/>
            <w:tcMar>
              <w:top w:w="80" w:type="dxa"/>
              <w:start w:w="90" w:type="dxa"/>
              <w:bottom w:w="80" w:type="dxa"/>
              <w:end w:w="90" w:type="dxa"/>
            </w:tcMar>
          </w:tcPr>
          <w:p>
            <w:pPr>
              <w:spacing w:after="30"/>
            </w:pPr>
            <w:r>
              <w:rPr>
                <w:sz w:val="15"/>
              </w:rPr>
              <w:t>Qumran research is particularly important.</w:t>
            </w:r>
          </w:p>
        </w:tc>
      </w:tr>
      <w:tr>
        <w:trPr>
          <w:cantSplit/>
        </w:trPr>
        <w:tc>
          <w:tcPr>
            <w:tcW w:type="dxa" w:w="4968"/>
            <w:vAlign w:val="top"/>
            <w:tcMar>
              <w:top w:w="80" w:type="dxa"/>
              <w:start w:w="90" w:type="dxa"/>
              <w:bottom w:w="80" w:type="dxa"/>
              <w:end w:w="90" w:type="dxa"/>
            </w:tcMar>
            <w:shd w:fill="F8FAFC"/>
          </w:tcPr>
          <w:p>
            <w:pPr>
              <w:spacing w:after="30"/>
            </w:pPr>
            <w:r>
              <w:rPr>
                <w:sz w:val="15"/>
              </w:rPr>
              <w:t>Multiple Buddhist canons and parallel early texts complicate any claim that one bounded book-list uniquely represents the historical Buddha.</w:t>
            </w:r>
          </w:p>
        </w:tc>
        <w:tc>
          <w:tcPr>
            <w:tcW w:type="dxa" w:w="1728"/>
            <w:vAlign w:val="top"/>
            <w:tcMar>
              <w:top w:w="80" w:type="dxa"/>
              <w:start w:w="90" w:type="dxa"/>
              <w:bottom w:w="80" w:type="dxa"/>
              <w:end w:w="90" w:type="dxa"/>
            </w:tcMar>
            <w:shd w:fill="F8FAFC"/>
          </w:tcPr>
          <w:p>
            <w:pPr>
              <w:spacing w:after="30"/>
            </w:pPr>
            <w:r>
              <w:rPr>
                <w:sz w:val="15"/>
              </w:rPr>
              <w:t>Established</w:t>
            </w:r>
          </w:p>
        </w:tc>
        <w:tc>
          <w:tcPr>
            <w:tcW w:type="dxa" w:w="3096"/>
            <w:vAlign w:val="top"/>
            <w:tcMar>
              <w:top w:w="80" w:type="dxa"/>
              <w:start w:w="90" w:type="dxa"/>
              <w:bottom w:w="80" w:type="dxa"/>
              <w:end w:w="90" w:type="dxa"/>
            </w:tcMar>
            <w:shd w:fill="F8FAFC"/>
          </w:tcPr>
          <w:p>
            <w:pPr>
              <w:spacing w:after="30"/>
            </w:pPr>
            <w:r>
              <w:rPr>
                <w:sz w:val="15"/>
              </w:rPr>
              <w:t>Comparative textual work is essential.</w:t>
            </w:r>
          </w:p>
        </w:tc>
      </w:tr>
      <w:tr>
        <w:trPr>
          <w:cantSplit/>
        </w:trPr>
        <w:tc>
          <w:tcPr>
            <w:tcW w:type="dxa" w:w="4968"/>
            <w:vAlign w:val="top"/>
            <w:tcMar>
              <w:top w:w="80" w:type="dxa"/>
              <w:start w:w="90" w:type="dxa"/>
              <w:bottom w:w="80" w:type="dxa"/>
              <w:end w:w="90" w:type="dxa"/>
            </w:tcMar>
          </w:tcPr>
          <w:p>
            <w:pPr>
              <w:spacing w:after="30"/>
            </w:pPr>
            <w:r>
              <w:rPr>
                <w:sz w:val="15"/>
              </w:rPr>
              <w:t>The Way presently needs a closed canon.</w:t>
            </w:r>
          </w:p>
        </w:tc>
        <w:tc>
          <w:tcPr>
            <w:tcW w:type="dxa" w:w="1728"/>
            <w:vAlign w:val="top"/>
            <w:tcMar>
              <w:top w:w="80" w:type="dxa"/>
              <w:start w:w="90" w:type="dxa"/>
              <w:bottom w:w="80" w:type="dxa"/>
              <w:end w:w="90" w:type="dxa"/>
            </w:tcMar>
          </w:tcPr>
          <w:p>
            <w:pPr>
              <w:spacing w:after="30"/>
            </w:pPr>
            <w:r>
              <w:rPr>
                <w:sz w:val="15"/>
              </w:rPr>
              <w:t>Rejected - Premature</w:t>
            </w:r>
          </w:p>
        </w:tc>
        <w:tc>
          <w:tcPr>
            <w:tcW w:type="dxa" w:w="3096"/>
            <w:vAlign w:val="top"/>
            <w:tcMar>
              <w:top w:w="80" w:type="dxa"/>
              <w:start w:w="90" w:type="dxa"/>
              <w:bottom w:w="80" w:type="dxa"/>
              <w:end w:w="90" w:type="dxa"/>
            </w:tcMar>
          </w:tcPr>
          <w:p>
            <w:pPr>
              <w:spacing w:after="30"/>
            </w:pPr>
            <w:r>
              <w:rPr>
                <w:sz w:val="15"/>
              </w:rPr>
              <w:t>Closing the source field now would outrun the research and create avoidable authority risks.</w:t>
            </w:r>
          </w:p>
        </w:tc>
      </w:tr>
    </w:tbl>
    <w:p>
      <w:pPr>
        <w:pStyle w:val="Heading2"/>
      </w:pPr>
      <w:r>
        <w:t>Major interpretations still in view</w:t>
      </w:r>
    </w:p>
    <w:p>
      <w:r>
        <w:rPr>
          <w:b/>
        </w:rPr>
        <w:t xml:space="preserve">Inspired bounded canon: </w:t>
      </w:r>
      <w:r>
        <w:t>A divinely intended set of books eventually recognized by the faithful community.</w:t>
      </w:r>
    </w:p>
    <w:p>
      <w:r>
        <w:rPr>
          <w:b/>
        </w:rPr>
        <w:t xml:space="preserve">Community-reception model: </w:t>
      </w:r>
      <w:r>
        <w:t>Texts become normative through long use, perceived apostolic/prophetic connection, coherence, liturgy, and communal reception.</w:t>
      </w:r>
    </w:p>
    <w:p>
      <w:r>
        <w:rPr>
          <w:b/>
        </w:rPr>
        <w:t xml:space="preserve">Scripture-with-living-interpretation: </w:t>
      </w:r>
      <w:r>
        <w:t>Textual authority functions inseparably from interpretive community/tradition.</w:t>
      </w:r>
    </w:p>
    <w:p>
      <w:r>
        <w:rPr>
          <w:b/>
        </w:rPr>
        <w:t xml:space="preserve">Open library / graded authority: </w:t>
      </w:r>
      <w:r>
        <w:t>Sources can have different research, formative, liturgical, and doctrinal weights without a single binary canon line.</w:t>
      </w:r>
    </w:p>
    <w:p>
      <w:pPr>
        <w:pStyle w:val="Heading2"/>
      </w:pPr>
      <w:r>
        <w:t>Current Way posture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800"/>
            <w:shd w:fill="334155"/>
            <w:vAlign w:val="center"/>
            <w:tcMar>
              <w:top w:w="80" w:type="dxa"/>
              <w:start w:w="90" w:type="dxa"/>
              <w:bottom w:w="80" w:type="dxa"/>
              <w:end w:w="90" w:type="dxa"/>
            </w:tcMar>
          </w:tcPr>
          <w:p>
            <w:r>
              <w:rPr>
                <w:b/>
                <w:color w:val="FFFFFF"/>
                <w:sz w:val="16"/>
              </w:rPr>
              <w:t>Status</w:t>
            </w:r>
          </w:p>
        </w:tc>
        <w:tc>
          <w:tcPr>
            <w:tcW w:type="dxa" w:w="7992"/>
            <w:shd w:fill="334155"/>
            <w:vAlign w:val="center"/>
            <w:tcMar>
              <w:top w:w="80" w:type="dxa"/>
              <w:start w:w="90" w:type="dxa"/>
              <w:bottom w:w="80" w:type="dxa"/>
              <w:end w:w="90" w:type="dxa"/>
            </w:tcMar>
          </w:tcPr>
          <w:p>
            <w:r>
              <w:rPr>
                <w:b/>
                <w:color w:val="FFFFFF"/>
                <w:sz w:val="16"/>
              </w:rPr>
              <w:t>Current posture</w:t>
            </w:r>
          </w:p>
        </w:tc>
      </w:tr>
      <w:tr>
        <w:trPr>
          <w:cantSplit/>
        </w:trPr>
        <w:tc>
          <w:tcPr>
            <w:tcW w:type="dxa" w:w="1800"/>
            <w:vAlign w:val="top"/>
            <w:tcMar>
              <w:top w:w="80" w:type="dxa"/>
              <w:start w:w="90" w:type="dxa"/>
              <w:bottom w:w="80" w:type="dxa"/>
              <w:end w:w="90" w:type="dxa"/>
            </w:tcMar>
          </w:tcPr>
          <w:p>
            <w:pPr>
              <w:spacing w:after="30"/>
            </w:pPr>
            <w:r>
              <w:rPr>
                <w:sz w:val="16"/>
              </w:rPr>
              <w:t>Established</w:t>
            </w:r>
          </w:p>
        </w:tc>
        <w:tc>
          <w:tcPr>
            <w:tcW w:type="dxa" w:w="7992"/>
            <w:vAlign w:val="top"/>
            <w:tcMar>
              <w:top w:w="80" w:type="dxa"/>
              <w:start w:w="90" w:type="dxa"/>
              <w:bottom w:w="80" w:type="dxa"/>
              <w:end w:w="90" w:type="dxa"/>
            </w:tcMar>
          </w:tcPr>
          <w:p>
            <w:pPr>
              <w:spacing w:after="30"/>
            </w:pPr>
            <w:r>
              <w:rPr>
                <w:sz w:val="16"/>
              </w:rPr>
              <w:t>The Assembly will maintain a Library of Witnesses rather than declare an early canon.</w:t>
            </w:r>
          </w:p>
        </w:tc>
      </w:tr>
      <w:tr>
        <w:trPr>
          <w:cantSplit/>
        </w:trPr>
        <w:tc>
          <w:tcPr>
            <w:tcW w:type="dxa" w:w="1800"/>
            <w:vAlign w:val="top"/>
            <w:tcMar>
              <w:top w:w="80" w:type="dxa"/>
              <w:start w:w="90" w:type="dxa"/>
              <w:bottom w:w="80" w:type="dxa"/>
              <w:end w:w="90" w:type="dxa"/>
            </w:tcMar>
            <w:shd w:fill="F8FAFC"/>
          </w:tcPr>
          <w:p>
            <w:pPr>
              <w:spacing w:after="30"/>
            </w:pPr>
            <w:r>
              <w:rPr>
                <w:sz w:val="16"/>
              </w:rPr>
              <w:t>Established</w:t>
            </w:r>
          </w:p>
        </w:tc>
        <w:tc>
          <w:tcPr>
            <w:tcW w:type="dxa" w:w="7992"/>
            <w:vAlign w:val="top"/>
            <w:tcMar>
              <w:top w:w="80" w:type="dxa"/>
              <w:start w:w="90" w:type="dxa"/>
              <w:bottom w:w="80" w:type="dxa"/>
              <w:end w:w="90" w:type="dxa"/>
            </w:tcMar>
            <w:shd w:fill="F8FAFC"/>
          </w:tcPr>
          <w:p>
            <w:pPr>
              <w:spacing w:after="30"/>
            </w:pPr>
            <w:r>
              <w:rPr>
                <w:sz w:val="16"/>
              </w:rPr>
              <w:t>Library inclusion means relevance for study, not inspiration or doctrinal endorsement.</w:t>
            </w:r>
          </w:p>
        </w:tc>
      </w:tr>
      <w:tr>
        <w:trPr>
          <w:cantSplit/>
        </w:trPr>
        <w:tc>
          <w:tcPr>
            <w:tcW w:type="dxa" w:w="1800"/>
            <w:vAlign w:val="top"/>
            <w:tcMar>
              <w:top w:w="80" w:type="dxa"/>
              <w:start w:w="90" w:type="dxa"/>
              <w:bottom w:w="80" w:type="dxa"/>
              <w:end w:w="90" w:type="dxa"/>
            </w:tcMar>
          </w:tcPr>
          <w:p>
            <w:pPr>
              <w:spacing w:after="30"/>
            </w:pPr>
            <w:r>
              <w:rPr>
                <w:sz w:val="16"/>
              </w:rPr>
              <w:t>Provisional</w:t>
            </w:r>
          </w:p>
        </w:tc>
        <w:tc>
          <w:tcPr>
            <w:tcW w:type="dxa" w:w="7992"/>
            <w:vAlign w:val="top"/>
            <w:tcMar>
              <w:top w:w="80" w:type="dxa"/>
              <w:start w:w="90" w:type="dxa"/>
              <w:bottom w:w="80" w:type="dxa"/>
              <w:end w:w="90" w:type="dxa"/>
            </w:tcMar>
          </w:tcPr>
          <w:p>
            <w:pPr>
              <w:spacing w:after="30"/>
            </w:pPr>
            <w:r>
              <w:rPr>
                <w:sz w:val="16"/>
              </w:rPr>
              <w:t>Sources may receive separate research, formation, liturgical, and doctrinal statuses.</w:t>
            </w:r>
          </w:p>
        </w:tc>
      </w:tr>
      <w:tr>
        <w:trPr>
          <w:cantSplit/>
        </w:trPr>
        <w:tc>
          <w:tcPr>
            <w:tcW w:type="dxa" w:w="1800"/>
            <w:vAlign w:val="top"/>
            <w:tcMar>
              <w:top w:w="80" w:type="dxa"/>
              <w:start w:w="90" w:type="dxa"/>
              <w:bottom w:w="80" w:type="dxa"/>
              <w:end w:w="90" w:type="dxa"/>
            </w:tcMar>
            <w:shd w:fill="F8FAFC"/>
          </w:tcPr>
          <w:p>
            <w:pPr>
              <w:spacing w:after="30"/>
            </w:pPr>
            <w:r>
              <w:rPr>
                <w:sz w:val="16"/>
              </w:rPr>
              <w:t>Reserved</w:t>
            </w:r>
          </w:p>
        </w:tc>
        <w:tc>
          <w:tcPr>
            <w:tcW w:type="dxa" w:w="7992"/>
            <w:vAlign w:val="top"/>
            <w:tcMar>
              <w:top w:w="80" w:type="dxa"/>
              <w:start w:w="90" w:type="dxa"/>
              <w:bottom w:w="80" w:type="dxa"/>
              <w:end w:w="90" w:type="dxa"/>
            </w:tcMar>
            <w:shd w:fill="F8FAFC"/>
          </w:tcPr>
          <w:p>
            <w:pPr>
              <w:spacing w:after="30"/>
            </w:pPr>
            <w:r>
              <w:rPr>
                <w:sz w:val="16"/>
              </w:rPr>
              <w:t>Any future canon requires a separate entrenched adoption process and should not occur merely for branding or imitation.</w:t>
            </w:r>
          </w:p>
        </w:tc>
      </w:tr>
    </w:tbl>
    <w:p>
      <w:pPr>
        <w:pStyle w:val="Heading2"/>
      </w:pPr>
      <w:r>
        <w:t>What would materially change confidence?</w:t>
      </w:r>
    </w:p>
    <w:p>
      <w:pPr>
        <w:pStyle w:val="ListBullet"/>
      </w:pPr>
      <w:r>
        <w:t>Long-term evidence that a stable bounded corpus is necessary for faithful transmission and can be adopted without suppressing relevant counter-witnesses.</w:t>
      </w:r>
    </w:p>
    <w:p>
      <w:pPr>
        <w:pStyle w:val="ListBullet"/>
      </w:pPr>
      <w:r>
        <w:t>A mature theology of revelation and inspiration capable of explaining why specific texts have a qualitatively different status.</w:t>
      </w:r>
    </w:p>
    <w:p>
      <w:pPr>
        <w:pStyle w:val="ListBullet"/>
      </w:pPr>
      <w:r>
        <w:t>Multigenerational reception showing durable communal discernment rather than founder-era preference.</w:t>
      </w:r>
    </w:p>
    <w:p>
      <w:pPr>
        <w:pStyle w:val="Heading2"/>
      </w:pPr>
      <w:r>
        <w:t>Next research questions</w:t>
      </w:r>
    </w:p>
    <w:p>
      <w:pPr>
        <w:pStyle w:val="ListBullet"/>
      </w:pPr>
      <w:r>
        <w:t>What levels of authority should the Library support?</w:t>
      </w:r>
    </w:p>
    <w:p>
      <w:pPr>
        <w:pStyle w:val="ListBullet"/>
      </w:pPr>
      <w:r>
        <w:t>Can liturgical reading be authorized without doctrinal authority?</w:t>
      </w:r>
    </w:p>
    <w:p>
      <w:pPr>
        <w:pStyle w:val="ListBullet"/>
      </w:pPr>
      <w:r>
        <w:t>How should translations, manuscript variants, and critical editions be governed?</w:t>
      </w:r>
    </w:p>
    <w:p>
      <w:pPr>
        <w:pStyle w:val="ListBullet"/>
      </w:pPr>
      <w:r>
        <w:t>What would justify any future canon closure?</w:t>
      </w:r>
    </w:p>
    <w:p>
      <w:pPr>
        <w:pStyle w:val="Heading1"/>
        <w:pageBreakBefore/>
      </w:pPr>
      <w:r>
        <w:t>TQ-007 - Human Condition / Soul / Consciousness</w:t>
      </w:r>
    </w:p>
    <w:tbl>
      <w:tblPr>
        <w:tblStyle w:val="TableGrid"/>
        <w:tblW w:type="auto" w:w="0"/>
        <w:tblLook w:firstColumn="1" w:firstRow="1" w:lastColumn="0" w:lastRow="0" w:noHBand="0" w:noVBand="1" w:val="04A0"/>
      </w:tblPr>
      <w:tblGrid>
        <w:gridCol w:w="9994"/>
      </w:tblGrid>
      <w:tr>
        <w:trPr>
          <w:tblHeader w:val="true"/>
        </w:trPr>
        <w:tc>
          <w:tcPr>
            <w:tcW w:type="dxa" w:w="9994"/>
            <w:shd w:fill="F8FAFC"/>
            <w:tcMar>
              <w:top w:w="130" w:type="dxa"/>
              <w:start w:w="160" w:type="dxa"/>
              <w:bottom w:w="130" w:type="dxa"/>
              <w:end w:w="160" w:type="dxa"/>
            </w:tcMar>
          </w:tcPr>
          <w:p>
            <w:r>
              <w:rPr>
                <w:b/>
                <w:color w:val="334155"/>
              </w:rPr>
              <w:t>Research question</w:t>
              <w:br/>
            </w:r>
            <w:r>
              <w:t>What is the human problem, what is a person, and what forms of transformation are warranted before the Way settles soul/afterlife metaphysics?</w:t>
            </w:r>
          </w:p>
        </w:tc>
      </w:tr>
    </w:tbl>
    <w:p>
      <w:r>
        <w:t>Across traditions, striking but incomplete convergence appears at the practical level: human beings are finite, vulnerable to suffering, prone to self-deception and harmful desire, shaped by habits and communities, capable of cruelty and compassion, and capable of significant transformation through disciplined practice and relationship. The metaphysical explanations remain deeply different: image-of-God anthropology, sin and grace, fitrah and moral accountability, Buddhist non-self and craving, Sikh haumai/ego, and Hindu models of self, karma, and ignorance are not interchangeable.</w:t>
      </w:r>
    </w:p>
    <w:p>
      <w:pPr>
        <w:pStyle w:val="Heading2"/>
      </w:pPr>
      <w:r>
        <w:t>Witness map</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shd w:fill="334155"/>
            <w:vAlign w:val="center"/>
            <w:tcMar>
              <w:top w:w="80" w:type="dxa"/>
              <w:start w:w="90" w:type="dxa"/>
              <w:bottom w:w="80" w:type="dxa"/>
              <w:end w:w="90" w:type="dxa"/>
            </w:tcMar>
          </w:tcPr>
          <w:p>
            <w:r>
              <w:rPr>
                <w:b/>
                <w:color w:val="FFFFFF"/>
                <w:sz w:val="15"/>
              </w:rPr>
              <w:t>Witness</w:t>
            </w:r>
          </w:p>
        </w:tc>
        <w:tc>
          <w:tcPr>
            <w:tcW w:type="dxa" w:w="2880"/>
            <w:shd w:fill="334155"/>
            <w:vAlign w:val="center"/>
            <w:tcMar>
              <w:top w:w="80" w:type="dxa"/>
              <w:start w:w="90" w:type="dxa"/>
              <w:bottom w:w="80" w:type="dxa"/>
              <w:end w:w="90" w:type="dxa"/>
            </w:tcMar>
          </w:tcPr>
          <w:p>
            <w:r>
              <w:rPr>
                <w:b/>
                <w:color w:val="FFFFFF"/>
                <w:sz w:val="15"/>
              </w:rPr>
              <w:t>Source / corpus</w:t>
            </w:r>
          </w:p>
        </w:tc>
        <w:tc>
          <w:tcPr>
            <w:tcW w:type="dxa" w:w="4824"/>
            <w:shd w:fill="334155"/>
            <w:vAlign w:val="center"/>
            <w:tcMar>
              <w:top w:w="80" w:type="dxa"/>
              <w:start w:w="90" w:type="dxa"/>
              <w:bottom w:w="80" w:type="dxa"/>
              <w:end w:w="90" w:type="dxa"/>
            </w:tcMar>
          </w:tcPr>
          <w:p>
            <w:r>
              <w:rPr>
                <w:b/>
                <w:color w:val="FFFFFF"/>
                <w:sz w:val="15"/>
              </w:rPr>
              <w:t>Research use</w:t>
            </w:r>
          </w:p>
        </w:tc>
      </w:tr>
      <w:tr>
        <w:trPr>
          <w:cantSplit/>
        </w:trPr>
        <w:tc>
          <w:tcPr>
            <w:tcW w:type="dxa" w:w="2088"/>
            <w:vAlign w:val="top"/>
            <w:tcMar>
              <w:top w:w="80" w:type="dxa"/>
              <w:start w:w="90" w:type="dxa"/>
              <w:bottom w:w="80" w:type="dxa"/>
              <w:end w:w="90" w:type="dxa"/>
            </w:tcMar>
          </w:tcPr>
          <w:p>
            <w:pPr>
              <w:spacing w:after="30"/>
            </w:pPr>
            <w:r>
              <w:rPr>
                <w:sz w:val="15"/>
              </w:rPr>
              <w:t>Genesis 1:27 and Jewish traditions</w:t>
            </w:r>
          </w:p>
        </w:tc>
        <w:tc>
          <w:tcPr>
            <w:tcW w:type="dxa" w:w="2880"/>
            <w:vAlign w:val="top"/>
            <w:tcMar>
              <w:top w:w="80" w:type="dxa"/>
              <w:start w:w="90" w:type="dxa"/>
              <w:bottom w:w="80" w:type="dxa"/>
              <w:end w:w="90" w:type="dxa"/>
            </w:tcMar>
          </w:tcPr>
          <w:p>
            <w:pPr>
              <w:spacing w:after="30"/>
            </w:pPr>
            <w:r>
              <w:rPr>
                <w:sz w:val="15"/>
              </w:rPr>
              <w:t>Humanity in the image of God</w:t>
            </w:r>
          </w:p>
        </w:tc>
        <w:tc>
          <w:tcPr>
            <w:tcW w:type="dxa" w:w="4824"/>
            <w:vAlign w:val="top"/>
            <w:tcMar>
              <w:top w:w="80" w:type="dxa"/>
              <w:start w:w="90" w:type="dxa"/>
              <w:bottom w:w="80" w:type="dxa"/>
              <w:end w:w="90" w:type="dxa"/>
            </w:tcMar>
          </w:tcPr>
          <w:p>
            <w:pPr>
              <w:spacing w:after="30"/>
            </w:pPr>
            <w:r>
              <w:rPr>
                <w:sz w:val="15"/>
              </w:rPr>
              <w:t>Supports dignity/vocation interpretations; later Jewish anthropology is diverse.</w:t>
            </w:r>
          </w:p>
        </w:tc>
      </w:tr>
      <w:tr>
        <w:trPr>
          <w:cantSplit/>
        </w:trPr>
        <w:tc>
          <w:tcPr>
            <w:tcW w:type="dxa" w:w="2088"/>
            <w:vAlign w:val="top"/>
            <w:tcMar>
              <w:top w:w="80" w:type="dxa"/>
              <w:start w:w="90" w:type="dxa"/>
              <w:bottom w:w="80" w:type="dxa"/>
              <w:end w:w="90" w:type="dxa"/>
            </w:tcMar>
            <w:shd w:fill="F8FAFC"/>
          </w:tcPr>
          <w:p>
            <w:pPr>
              <w:spacing w:after="30"/>
            </w:pPr>
            <w:r>
              <w:rPr>
                <w:sz w:val="15"/>
              </w:rPr>
              <w:t>Jesus traditions</w:t>
            </w:r>
          </w:p>
        </w:tc>
        <w:tc>
          <w:tcPr>
            <w:tcW w:type="dxa" w:w="2880"/>
            <w:vAlign w:val="top"/>
            <w:tcMar>
              <w:top w:w="80" w:type="dxa"/>
              <w:start w:w="90" w:type="dxa"/>
              <w:bottom w:w="80" w:type="dxa"/>
              <w:end w:w="90" w:type="dxa"/>
            </w:tcMar>
            <w:shd w:fill="F8FAFC"/>
          </w:tcPr>
          <w:p>
            <w:pPr>
              <w:spacing w:after="30"/>
            </w:pPr>
            <w:r>
              <w:rPr>
                <w:sz w:val="15"/>
              </w:rPr>
              <w:t>e.g., Mark 7:20-23 and related ethical teaching</w:t>
            </w:r>
          </w:p>
        </w:tc>
        <w:tc>
          <w:tcPr>
            <w:tcW w:type="dxa" w:w="4824"/>
            <w:vAlign w:val="top"/>
            <w:tcMar>
              <w:top w:w="80" w:type="dxa"/>
              <w:start w:w="90" w:type="dxa"/>
              <w:bottom w:w="80" w:type="dxa"/>
              <w:end w:w="90" w:type="dxa"/>
            </w:tcMar>
            <w:shd w:fill="F8FAFC"/>
          </w:tcPr>
          <w:p>
            <w:pPr>
              <w:spacing w:after="30"/>
            </w:pPr>
            <w:r>
              <w:rPr>
                <w:sz w:val="15"/>
              </w:rPr>
              <w:t>Locates moral corruption in dispositions/actions arising from within, not merely ritual contamination.</w:t>
            </w:r>
          </w:p>
        </w:tc>
      </w:tr>
      <w:tr>
        <w:trPr>
          <w:cantSplit/>
        </w:trPr>
        <w:tc>
          <w:tcPr>
            <w:tcW w:type="dxa" w:w="2088"/>
            <w:vAlign w:val="top"/>
            <w:tcMar>
              <w:top w:w="80" w:type="dxa"/>
              <w:start w:w="90" w:type="dxa"/>
              <w:bottom w:w="80" w:type="dxa"/>
              <w:end w:w="90" w:type="dxa"/>
            </w:tcMar>
          </w:tcPr>
          <w:p>
            <w:pPr>
              <w:spacing w:after="30"/>
            </w:pPr>
            <w:r>
              <w:rPr>
                <w:sz w:val="15"/>
              </w:rPr>
              <w:t>Pauline / Christian traditions</w:t>
            </w:r>
          </w:p>
        </w:tc>
        <w:tc>
          <w:tcPr>
            <w:tcW w:type="dxa" w:w="2880"/>
            <w:vAlign w:val="top"/>
            <w:tcMar>
              <w:top w:w="80" w:type="dxa"/>
              <w:start w:w="90" w:type="dxa"/>
              <w:bottom w:w="80" w:type="dxa"/>
              <w:end w:w="90" w:type="dxa"/>
            </w:tcMar>
          </w:tcPr>
          <w:p>
            <w:pPr>
              <w:spacing w:after="30"/>
            </w:pPr>
            <w:r>
              <w:rPr>
                <w:sz w:val="15"/>
              </w:rPr>
              <w:t>Sin, flesh/spirit, grace, new creation</w:t>
            </w:r>
          </w:p>
        </w:tc>
        <w:tc>
          <w:tcPr>
            <w:tcW w:type="dxa" w:w="4824"/>
            <w:vAlign w:val="top"/>
            <w:tcMar>
              <w:top w:w="80" w:type="dxa"/>
              <w:start w:w="90" w:type="dxa"/>
              <w:bottom w:w="80" w:type="dxa"/>
              <w:end w:w="90" w:type="dxa"/>
            </w:tcMar>
          </w:tcPr>
          <w:p>
            <w:pPr>
              <w:spacing w:after="30"/>
            </w:pPr>
            <w:r>
              <w:rPr>
                <w:sz w:val="15"/>
              </w:rPr>
              <w:t>Highly influential Christian anthropology; multiple later theories of original sin and salvation.</w:t>
            </w:r>
          </w:p>
        </w:tc>
      </w:tr>
      <w:tr>
        <w:trPr>
          <w:cantSplit/>
        </w:trPr>
        <w:tc>
          <w:tcPr>
            <w:tcW w:type="dxa" w:w="2088"/>
            <w:vAlign w:val="top"/>
            <w:tcMar>
              <w:top w:w="80" w:type="dxa"/>
              <w:start w:w="90" w:type="dxa"/>
              <w:bottom w:w="80" w:type="dxa"/>
              <w:end w:w="90" w:type="dxa"/>
            </w:tcMar>
            <w:shd w:fill="F8FAFC"/>
          </w:tcPr>
          <w:p>
            <w:pPr>
              <w:spacing w:after="30"/>
            </w:pPr>
            <w:r>
              <w:rPr>
                <w:sz w:val="15"/>
              </w:rPr>
              <w:t>Qur'an 30:30; 91:7-10</w:t>
            </w:r>
          </w:p>
        </w:tc>
        <w:tc>
          <w:tcPr>
            <w:tcW w:type="dxa" w:w="2880"/>
            <w:vAlign w:val="top"/>
            <w:tcMar>
              <w:top w:w="80" w:type="dxa"/>
              <w:start w:w="90" w:type="dxa"/>
              <w:bottom w:w="80" w:type="dxa"/>
              <w:end w:w="90" w:type="dxa"/>
            </w:tcMar>
            <w:shd w:fill="F8FAFC"/>
          </w:tcPr>
          <w:p>
            <w:pPr>
              <w:spacing w:after="30"/>
            </w:pPr>
            <w:r>
              <w:rPr>
                <w:sz w:val="15"/>
              </w:rPr>
              <w:t>Fitrah, moral discernment, purification/corruption</w:t>
            </w:r>
          </w:p>
        </w:tc>
        <w:tc>
          <w:tcPr>
            <w:tcW w:type="dxa" w:w="4824"/>
            <w:vAlign w:val="top"/>
            <w:tcMar>
              <w:top w:w="80" w:type="dxa"/>
              <w:start w:w="90" w:type="dxa"/>
              <w:bottom w:w="80" w:type="dxa"/>
              <w:end w:w="90" w:type="dxa"/>
            </w:tcMar>
            <w:shd w:fill="F8FAFC"/>
          </w:tcPr>
          <w:p>
            <w:pPr>
              <w:spacing w:after="30"/>
            </w:pPr>
            <w:r>
              <w:rPr>
                <w:sz w:val="15"/>
              </w:rPr>
              <w:t>Human created disposition and accountability; Islamic anthropology is broader than these verses alone.</w:t>
            </w:r>
          </w:p>
        </w:tc>
      </w:tr>
      <w:tr>
        <w:trPr>
          <w:cantSplit/>
        </w:trPr>
        <w:tc>
          <w:tcPr>
            <w:tcW w:type="dxa" w:w="2088"/>
            <w:vAlign w:val="top"/>
            <w:tcMar>
              <w:top w:w="80" w:type="dxa"/>
              <w:start w:w="90" w:type="dxa"/>
              <w:bottom w:w="80" w:type="dxa"/>
              <w:end w:w="90" w:type="dxa"/>
            </w:tcMar>
          </w:tcPr>
          <w:p>
            <w:pPr>
              <w:spacing w:after="30"/>
            </w:pPr>
            <w:r>
              <w:rPr>
                <w:sz w:val="15"/>
              </w:rPr>
              <w:t>Early Buddhist texts</w:t>
            </w:r>
          </w:p>
        </w:tc>
        <w:tc>
          <w:tcPr>
            <w:tcW w:type="dxa" w:w="2880"/>
            <w:vAlign w:val="top"/>
            <w:tcMar>
              <w:top w:w="80" w:type="dxa"/>
              <w:start w:w="90" w:type="dxa"/>
              <w:bottom w:w="80" w:type="dxa"/>
              <w:end w:w="90" w:type="dxa"/>
            </w:tcMar>
          </w:tcPr>
          <w:p>
            <w:pPr>
              <w:spacing w:after="30"/>
            </w:pPr>
            <w:r>
              <w:rPr>
                <w:sz w:val="15"/>
              </w:rPr>
              <w:t>dukkha, craving, impermanence, non-self</w:t>
            </w:r>
          </w:p>
        </w:tc>
        <w:tc>
          <w:tcPr>
            <w:tcW w:type="dxa" w:w="4824"/>
            <w:vAlign w:val="top"/>
            <w:tcMar>
              <w:top w:w="80" w:type="dxa"/>
              <w:start w:w="90" w:type="dxa"/>
              <w:bottom w:w="80" w:type="dxa"/>
              <w:end w:w="90" w:type="dxa"/>
            </w:tcMar>
          </w:tcPr>
          <w:p>
            <w:pPr>
              <w:spacing w:after="30"/>
            </w:pPr>
            <w:r>
              <w:rPr>
                <w:sz w:val="15"/>
              </w:rPr>
              <w:t>Frames the problem without a permanent controlling self and emphasizes liberation through insight/practice.</w:t>
            </w:r>
          </w:p>
        </w:tc>
      </w:tr>
      <w:tr>
        <w:trPr>
          <w:cantSplit/>
        </w:trPr>
        <w:tc>
          <w:tcPr>
            <w:tcW w:type="dxa" w:w="2088"/>
            <w:vAlign w:val="top"/>
            <w:tcMar>
              <w:top w:w="80" w:type="dxa"/>
              <w:start w:w="90" w:type="dxa"/>
              <w:bottom w:w="80" w:type="dxa"/>
              <w:end w:w="90" w:type="dxa"/>
            </w:tcMar>
            <w:shd w:fill="F8FAFC"/>
          </w:tcPr>
          <w:p>
            <w:pPr>
              <w:spacing w:after="30"/>
            </w:pPr>
            <w:r>
              <w:rPr>
                <w:sz w:val="15"/>
              </w:rPr>
              <w:t>Sikh teaching</w:t>
            </w:r>
          </w:p>
        </w:tc>
        <w:tc>
          <w:tcPr>
            <w:tcW w:type="dxa" w:w="2880"/>
            <w:vAlign w:val="top"/>
            <w:tcMar>
              <w:top w:w="80" w:type="dxa"/>
              <w:start w:w="90" w:type="dxa"/>
              <w:bottom w:w="80" w:type="dxa"/>
              <w:end w:w="90" w:type="dxa"/>
            </w:tcMar>
            <w:shd w:fill="F8FAFC"/>
          </w:tcPr>
          <w:p>
            <w:pPr>
              <w:spacing w:after="30"/>
            </w:pPr>
            <w:r>
              <w:rPr>
                <w:sz w:val="15"/>
              </w:rPr>
              <w:t>haumai / ego and truthful living</w:t>
            </w:r>
          </w:p>
        </w:tc>
        <w:tc>
          <w:tcPr>
            <w:tcW w:type="dxa" w:w="4824"/>
            <w:vAlign w:val="top"/>
            <w:tcMar>
              <w:top w:w="80" w:type="dxa"/>
              <w:start w:w="90" w:type="dxa"/>
              <w:bottom w:w="80" w:type="dxa"/>
              <w:end w:w="90" w:type="dxa"/>
            </w:tcMar>
            <w:shd w:fill="F8FAFC"/>
          </w:tcPr>
          <w:p>
            <w:pPr>
              <w:spacing w:after="30"/>
            </w:pPr>
            <w:r>
              <w:rPr>
                <w:sz w:val="15"/>
              </w:rPr>
              <w:t>Ego-centeredness is a key obstacle; remembrance and truthful living are central remedies.</w:t>
            </w:r>
          </w:p>
        </w:tc>
      </w:tr>
    </w:tbl>
    <w:p>
      <w:pPr>
        <w:pStyle w:val="Heading2"/>
      </w:pPr>
      <w:r>
        <w:t>Findings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4968"/>
            <w:shd w:fill="334155"/>
            <w:vAlign w:val="center"/>
            <w:tcMar>
              <w:top w:w="80" w:type="dxa"/>
              <w:start w:w="90" w:type="dxa"/>
              <w:bottom w:w="80" w:type="dxa"/>
              <w:end w:w="90" w:type="dxa"/>
            </w:tcMar>
          </w:tcPr>
          <w:p>
            <w:r>
              <w:rPr>
                <w:b/>
                <w:color w:val="FFFFFF"/>
                <w:sz w:val="15"/>
              </w:rPr>
              <w:t>Claim</w:t>
            </w:r>
          </w:p>
        </w:tc>
        <w:tc>
          <w:tcPr>
            <w:tcW w:type="dxa" w:w="1728"/>
            <w:shd w:fill="334155"/>
            <w:vAlign w:val="center"/>
            <w:tcMar>
              <w:top w:w="80" w:type="dxa"/>
              <w:start w:w="90" w:type="dxa"/>
              <w:bottom w:w="80" w:type="dxa"/>
              <w:end w:w="90" w:type="dxa"/>
            </w:tcMar>
          </w:tcPr>
          <w:p>
            <w:r>
              <w:rPr>
                <w:b/>
                <w:color w:val="FFFFFF"/>
                <w:sz w:val="15"/>
              </w:rPr>
              <w:t>Confidence</w:t>
            </w:r>
          </w:p>
        </w:tc>
        <w:tc>
          <w:tcPr>
            <w:tcW w:type="dxa" w:w="3096"/>
            <w:shd w:fill="334155"/>
            <w:vAlign w:val="center"/>
            <w:tcMar>
              <w:top w:w="80" w:type="dxa"/>
              <w:start w:w="90" w:type="dxa"/>
              <w:bottom w:w="80" w:type="dxa"/>
              <w:end w:w="90" w:type="dxa"/>
            </w:tcMar>
          </w:tcPr>
          <w:p>
            <w:r>
              <w:rPr>
                <w:b/>
                <w:color w:val="FFFFFF"/>
                <w:sz w:val="15"/>
              </w:rPr>
              <w:t>Research note</w:t>
            </w:r>
          </w:p>
        </w:tc>
      </w:tr>
      <w:tr>
        <w:trPr>
          <w:cantSplit/>
        </w:trPr>
        <w:tc>
          <w:tcPr>
            <w:tcW w:type="dxa" w:w="4968"/>
            <w:vAlign w:val="top"/>
            <w:tcMar>
              <w:top w:w="80" w:type="dxa"/>
              <w:start w:w="90" w:type="dxa"/>
              <w:bottom w:w="80" w:type="dxa"/>
              <w:end w:w="90" w:type="dxa"/>
            </w:tcMar>
          </w:tcPr>
          <w:p>
            <w:pPr>
              <w:spacing w:after="30"/>
            </w:pPr>
            <w:r>
              <w:rPr>
                <w:sz w:val="15"/>
              </w:rPr>
              <w:t>Humans are vulnerable to cognitive bias, self-deception, social influence, harmful desire, and moral failure.</w:t>
            </w:r>
          </w:p>
        </w:tc>
        <w:tc>
          <w:tcPr>
            <w:tcW w:type="dxa" w:w="1728"/>
            <w:vAlign w:val="top"/>
            <w:tcMar>
              <w:top w:w="80" w:type="dxa"/>
              <w:start w:w="90" w:type="dxa"/>
              <w:bottom w:w="80" w:type="dxa"/>
              <w:end w:w="90" w:type="dxa"/>
            </w:tcMar>
          </w:tcPr>
          <w:p>
            <w:pPr>
              <w:spacing w:after="30"/>
            </w:pPr>
            <w:r>
              <w:rPr>
                <w:sz w:val="15"/>
              </w:rPr>
              <w:t>Established</w:t>
            </w:r>
          </w:p>
        </w:tc>
        <w:tc>
          <w:tcPr>
            <w:tcW w:type="dxa" w:w="3096"/>
            <w:vAlign w:val="top"/>
            <w:tcMar>
              <w:top w:w="80" w:type="dxa"/>
              <w:start w:w="90" w:type="dxa"/>
              <w:bottom w:w="80" w:type="dxa"/>
              <w:end w:w="90" w:type="dxa"/>
            </w:tcMar>
          </w:tcPr>
          <w:p>
            <w:pPr>
              <w:spacing w:after="30"/>
            </w:pPr>
            <w:r>
              <w:rPr>
                <w:sz w:val="15"/>
              </w:rPr>
              <w:t>Supported by ordinary experience and multiple religious/psychological traditions; exact mechanisms vary.</w:t>
            </w:r>
          </w:p>
        </w:tc>
      </w:tr>
      <w:tr>
        <w:trPr>
          <w:cantSplit/>
        </w:trPr>
        <w:tc>
          <w:tcPr>
            <w:tcW w:type="dxa" w:w="4968"/>
            <w:vAlign w:val="top"/>
            <w:tcMar>
              <w:top w:w="80" w:type="dxa"/>
              <w:start w:w="90" w:type="dxa"/>
              <w:bottom w:w="80" w:type="dxa"/>
              <w:end w:w="90" w:type="dxa"/>
            </w:tcMar>
            <w:shd w:fill="F8FAFC"/>
          </w:tcPr>
          <w:p>
            <w:pPr>
              <w:spacing w:after="30"/>
            </w:pPr>
            <w:r>
              <w:rPr>
                <w:sz w:val="15"/>
              </w:rPr>
              <w:t>Humans are also capable of compassion, learning, conscience, repair, self-regulation, and transformation.</w:t>
            </w:r>
          </w:p>
        </w:tc>
        <w:tc>
          <w:tcPr>
            <w:tcW w:type="dxa" w:w="1728"/>
            <w:vAlign w:val="top"/>
            <w:tcMar>
              <w:top w:w="80" w:type="dxa"/>
              <w:start w:w="90" w:type="dxa"/>
              <w:bottom w:w="80" w:type="dxa"/>
              <w:end w:w="90" w:type="dxa"/>
            </w:tcMar>
            <w:shd w:fill="F8FAFC"/>
          </w:tcPr>
          <w:p>
            <w:pPr>
              <w:spacing w:after="30"/>
            </w:pPr>
            <w:r>
              <w:rPr>
                <w:sz w:val="15"/>
              </w:rPr>
              <w:t>Established</w:t>
            </w:r>
          </w:p>
        </w:tc>
        <w:tc>
          <w:tcPr>
            <w:tcW w:type="dxa" w:w="3096"/>
            <w:vAlign w:val="top"/>
            <w:tcMar>
              <w:top w:w="80" w:type="dxa"/>
              <w:start w:w="90" w:type="dxa"/>
              <w:bottom w:w="80" w:type="dxa"/>
              <w:end w:w="90" w:type="dxa"/>
            </w:tcMar>
            <w:shd w:fill="F8FAFC"/>
          </w:tcPr>
          <w:p>
            <w:pPr>
              <w:spacing w:after="30"/>
            </w:pPr>
            <w:r>
              <w:rPr>
                <w:sz w:val="15"/>
              </w:rPr>
              <w:t>A one-sided doctrine of depravity is not warranted by the comparative evidence alone.</w:t>
            </w:r>
          </w:p>
        </w:tc>
      </w:tr>
      <w:tr>
        <w:trPr>
          <w:cantSplit/>
        </w:trPr>
        <w:tc>
          <w:tcPr>
            <w:tcW w:type="dxa" w:w="4968"/>
            <w:vAlign w:val="top"/>
            <w:tcMar>
              <w:top w:w="80" w:type="dxa"/>
              <w:start w:w="90" w:type="dxa"/>
              <w:bottom w:w="80" w:type="dxa"/>
              <w:end w:w="90" w:type="dxa"/>
            </w:tcMar>
          </w:tcPr>
          <w:p>
            <w:pPr>
              <w:spacing w:after="30"/>
            </w:pPr>
            <w:r>
              <w:rPr>
                <w:sz w:val="15"/>
              </w:rPr>
              <w:t>Human dignity should not depend on religious status, purity, caste, office, wealth, sex, or loyalty to the institution.</w:t>
            </w:r>
          </w:p>
        </w:tc>
        <w:tc>
          <w:tcPr>
            <w:tcW w:type="dxa" w:w="1728"/>
            <w:vAlign w:val="top"/>
            <w:tcMar>
              <w:top w:w="80" w:type="dxa"/>
              <w:start w:w="90" w:type="dxa"/>
              <w:bottom w:w="80" w:type="dxa"/>
              <w:end w:w="90" w:type="dxa"/>
            </w:tcMar>
          </w:tcPr>
          <w:p>
            <w:pPr>
              <w:spacing w:after="30"/>
            </w:pPr>
            <w:r>
              <w:rPr>
                <w:sz w:val="15"/>
              </w:rPr>
              <w:t>Established - Ethical/Institutional</w:t>
            </w:r>
          </w:p>
        </w:tc>
        <w:tc>
          <w:tcPr>
            <w:tcW w:type="dxa" w:w="3096"/>
            <w:vAlign w:val="top"/>
            <w:tcMar>
              <w:top w:w="80" w:type="dxa"/>
              <w:start w:w="90" w:type="dxa"/>
              <w:bottom w:w="80" w:type="dxa"/>
              <w:end w:w="90" w:type="dxa"/>
            </w:tcMar>
          </w:tcPr>
          <w:p>
            <w:pPr>
              <w:spacing w:after="30"/>
            </w:pPr>
            <w:r>
              <w:rPr>
                <w:sz w:val="15"/>
              </w:rPr>
              <w:t>Constitutional commitment of the Way.</w:t>
            </w:r>
          </w:p>
        </w:tc>
      </w:tr>
      <w:tr>
        <w:trPr>
          <w:cantSplit/>
        </w:trPr>
        <w:tc>
          <w:tcPr>
            <w:tcW w:type="dxa" w:w="4968"/>
            <w:vAlign w:val="top"/>
            <w:tcMar>
              <w:top w:w="80" w:type="dxa"/>
              <w:start w:w="90" w:type="dxa"/>
              <w:bottom w:w="80" w:type="dxa"/>
              <w:end w:w="90" w:type="dxa"/>
            </w:tcMar>
            <w:shd w:fill="F8FAFC"/>
          </w:tcPr>
          <w:p>
            <w:pPr>
              <w:spacing w:after="30"/>
            </w:pPr>
            <w:r>
              <w:rPr>
                <w:sz w:val="15"/>
              </w:rPr>
              <w:t>Humans possess an immaterial immortal soul of a specific type.</w:t>
            </w:r>
          </w:p>
        </w:tc>
        <w:tc>
          <w:tcPr>
            <w:tcW w:type="dxa" w:w="1728"/>
            <w:vAlign w:val="top"/>
            <w:tcMar>
              <w:top w:w="80" w:type="dxa"/>
              <w:start w:w="90" w:type="dxa"/>
              <w:bottom w:w="80" w:type="dxa"/>
              <w:end w:w="90" w:type="dxa"/>
            </w:tcMar>
            <w:shd w:fill="F8FAFC"/>
          </w:tcPr>
          <w:p>
            <w:pPr>
              <w:spacing w:after="30"/>
            </w:pPr>
            <w:r>
              <w:rPr>
                <w:sz w:val="15"/>
              </w:rPr>
              <w:t>Open Question - Metaphysical</w:t>
            </w:r>
          </w:p>
        </w:tc>
        <w:tc>
          <w:tcPr>
            <w:tcW w:type="dxa" w:w="3096"/>
            <w:vAlign w:val="top"/>
            <w:tcMar>
              <w:top w:w="80" w:type="dxa"/>
              <w:start w:w="90" w:type="dxa"/>
              <w:bottom w:w="80" w:type="dxa"/>
              <w:end w:w="90" w:type="dxa"/>
            </w:tcMar>
            <w:shd w:fill="F8FAFC"/>
          </w:tcPr>
          <w:p>
            <w:pPr>
              <w:spacing w:after="30"/>
            </w:pPr>
            <w:r>
              <w:rPr>
                <w:sz w:val="15"/>
              </w:rPr>
              <w:t>Traditions and philosophical theories conflict.</w:t>
            </w:r>
          </w:p>
        </w:tc>
      </w:tr>
      <w:tr>
        <w:trPr>
          <w:cantSplit/>
        </w:trPr>
        <w:tc>
          <w:tcPr>
            <w:tcW w:type="dxa" w:w="4968"/>
            <w:vAlign w:val="top"/>
            <w:tcMar>
              <w:top w:w="80" w:type="dxa"/>
              <w:start w:w="90" w:type="dxa"/>
              <w:bottom w:w="80" w:type="dxa"/>
              <w:end w:w="90" w:type="dxa"/>
            </w:tcMar>
          </w:tcPr>
          <w:p>
            <w:pPr>
              <w:spacing w:after="30"/>
            </w:pPr>
            <w:r>
              <w:rPr>
                <w:sz w:val="15"/>
              </w:rPr>
              <w:t>No enduring self exists in any meaningful sense.</w:t>
            </w:r>
          </w:p>
        </w:tc>
        <w:tc>
          <w:tcPr>
            <w:tcW w:type="dxa" w:w="1728"/>
            <w:vAlign w:val="top"/>
            <w:tcMar>
              <w:top w:w="80" w:type="dxa"/>
              <w:start w:w="90" w:type="dxa"/>
              <w:bottom w:w="80" w:type="dxa"/>
              <w:end w:w="90" w:type="dxa"/>
            </w:tcMar>
          </w:tcPr>
          <w:p>
            <w:pPr>
              <w:spacing w:after="30"/>
            </w:pPr>
            <w:r>
              <w:rPr>
                <w:sz w:val="15"/>
              </w:rPr>
              <w:t>Open Question - Metaphysical</w:t>
            </w:r>
          </w:p>
        </w:tc>
        <w:tc>
          <w:tcPr>
            <w:tcW w:type="dxa" w:w="3096"/>
            <w:vAlign w:val="top"/>
            <w:tcMar>
              <w:top w:w="80" w:type="dxa"/>
              <w:start w:w="90" w:type="dxa"/>
              <w:bottom w:w="80" w:type="dxa"/>
              <w:end w:w="90" w:type="dxa"/>
            </w:tcMar>
          </w:tcPr>
          <w:p>
            <w:pPr>
              <w:spacing w:after="30"/>
            </w:pPr>
            <w:r>
              <w:rPr>
                <w:sz w:val="15"/>
              </w:rPr>
              <w:t>Early Buddhist non-self analysis is a major challenge to substantial-self theories but requires careful philosophical engagement.</w:t>
            </w:r>
          </w:p>
        </w:tc>
      </w:tr>
      <w:tr>
        <w:trPr>
          <w:cantSplit/>
        </w:trPr>
        <w:tc>
          <w:tcPr>
            <w:tcW w:type="dxa" w:w="4968"/>
            <w:vAlign w:val="top"/>
            <w:tcMar>
              <w:top w:w="80" w:type="dxa"/>
              <w:start w:w="90" w:type="dxa"/>
              <w:bottom w:w="80" w:type="dxa"/>
              <w:end w:w="90" w:type="dxa"/>
            </w:tcMar>
            <w:shd w:fill="F8FAFC"/>
          </w:tcPr>
          <w:p>
            <w:pPr>
              <w:spacing w:after="30"/>
            </w:pPr>
            <w:r>
              <w:rPr>
                <w:sz w:val="15"/>
              </w:rPr>
              <w:t>Inherited guilt/original sin is the correct universal diagnosis.</w:t>
            </w:r>
          </w:p>
        </w:tc>
        <w:tc>
          <w:tcPr>
            <w:tcW w:type="dxa" w:w="1728"/>
            <w:vAlign w:val="top"/>
            <w:tcMar>
              <w:top w:w="80" w:type="dxa"/>
              <w:start w:w="90" w:type="dxa"/>
              <w:bottom w:w="80" w:type="dxa"/>
              <w:end w:w="90" w:type="dxa"/>
            </w:tcMar>
            <w:shd w:fill="F8FAFC"/>
          </w:tcPr>
          <w:p>
            <w:pPr>
              <w:spacing w:after="30"/>
            </w:pPr>
            <w:r>
              <w:rPr>
                <w:sz w:val="15"/>
              </w:rPr>
              <w:t>Open Question</w:t>
            </w:r>
          </w:p>
        </w:tc>
        <w:tc>
          <w:tcPr>
            <w:tcW w:type="dxa" w:w="3096"/>
            <w:vAlign w:val="top"/>
            <w:tcMar>
              <w:top w:w="80" w:type="dxa"/>
              <w:start w:w="90" w:type="dxa"/>
              <w:bottom w:w="80" w:type="dxa"/>
              <w:end w:w="90" w:type="dxa"/>
            </w:tcMar>
            <w:shd w:fill="F8FAFC"/>
          </w:tcPr>
          <w:p>
            <w:pPr>
              <w:spacing w:after="30"/>
            </w:pPr>
            <w:r>
              <w:rPr>
                <w:sz w:val="15"/>
              </w:rPr>
              <w:t>Distinguish inherited conditions, social transmission, biological propensity, and culpability.</w:t>
            </w:r>
          </w:p>
        </w:tc>
      </w:tr>
    </w:tbl>
    <w:p>
      <w:pPr>
        <w:pStyle w:val="Heading2"/>
      </w:pPr>
      <w:r>
        <w:t>Major interpretations still in view</w:t>
      </w:r>
    </w:p>
    <w:p>
      <w:r>
        <w:rPr>
          <w:b/>
        </w:rPr>
        <w:t xml:space="preserve">Image of God / covenantal personhood: </w:t>
      </w:r>
      <w:r>
        <w:t>Human worth and vocation grounded in relation to God.</w:t>
      </w:r>
    </w:p>
    <w:p>
      <w:r>
        <w:rPr>
          <w:b/>
        </w:rPr>
        <w:t xml:space="preserve">Sin/grace anthropology: </w:t>
      </w:r>
      <w:r>
        <w:t>Humanity impaired by sin and dependent on divine grace; many Christian variants.</w:t>
      </w:r>
    </w:p>
    <w:p>
      <w:r>
        <w:rPr>
          <w:b/>
        </w:rPr>
        <w:t xml:space="preserve">Fitrah/accountability: </w:t>
      </w:r>
      <w:r>
        <w:t>Humans created with a primordial disposition toward truth/God yet capable of corruption and repentance.</w:t>
      </w:r>
    </w:p>
    <w:p>
      <w:r>
        <w:rPr>
          <w:b/>
        </w:rPr>
        <w:t xml:space="preserve">Non-self / craving / ignorance: </w:t>
      </w:r>
      <w:r>
        <w:t>Suffering maintained by craving, misperception, and attachment to self; liberation through ethical and contemplative insight.</w:t>
      </w:r>
    </w:p>
    <w:p>
      <w:r>
        <w:rPr>
          <w:b/>
        </w:rPr>
        <w:t xml:space="preserve">Ego/haumai: </w:t>
      </w:r>
      <w:r>
        <w:t>Self-centeredness obscures truthful relation to God and others; remembrance/service reorient the person.</w:t>
      </w:r>
    </w:p>
    <w:p>
      <w:r>
        <w:rPr>
          <w:b/>
        </w:rPr>
        <w:t xml:space="preserve">Naturalistic psychology: </w:t>
      </w:r>
      <w:r>
        <w:t>Human cognition and morality explained through biological, developmental, psychological, and social processes without metaphysical soul assumptions.</w:t>
      </w:r>
    </w:p>
    <w:p>
      <w:pPr>
        <w:pStyle w:val="Heading2"/>
      </w:pPr>
      <w:r>
        <w:t>Current Way posture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800"/>
            <w:shd w:fill="334155"/>
            <w:vAlign w:val="center"/>
            <w:tcMar>
              <w:top w:w="80" w:type="dxa"/>
              <w:start w:w="90" w:type="dxa"/>
              <w:bottom w:w="80" w:type="dxa"/>
              <w:end w:w="90" w:type="dxa"/>
            </w:tcMar>
          </w:tcPr>
          <w:p>
            <w:r>
              <w:rPr>
                <w:b/>
                <w:color w:val="FFFFFF"/>
                <w:sz w:val="16"/>
              </w:rPr>
              <w:t>Status</w:t>
            </w:r>
          </w:p>
        </w:tc>
        <w:tc>
          <w:tcPr>
            <w:tcW w:type="dxa" w:w="7992"/>
            <w:shd w:fill="334155"/>
            <w:vAlign w:val="center"/>
            <w:tcMar>
              <w:top w:w="80" w:type="dxa"/>
              <w:start w:w="90" w:type="dxa"/>
              <w:bottom w:w="80" w:type="dxa"/>
              <w:end w:w="90" w:type="dxa"/>
            </w:tcMar>
          </w:tcPr>
          <w:p>
            <w:r>
              <w:rPr>
                <w:b/>
                <w:color w:val="FFFFFF"/>
                <w:sz w:val="16"/>
              </w:rPr>
              <w:t>Current posture</w:t>
            </w:r>
          </w:p>
        </w:tc>
      </w:tr>
      <w:tr>
        <w:trPr>
          <w:cantSplit/>
        </w:trPr>
        <w:tc>
          <w:tcPr>
            <w:tcW w:type="dxa" w:w="1800"/>
            <w:vAlign w:val="top"/>
            <w:tcMar>
              <w:top w:w="80" w:type="dxa"/>
              <w:start w:w="90" w:type="dxa"/>
              <w:bottom w:w="80" w:type="dxa"/>
              <w:end w:w="90" w:type="dxa"/>
            </w:tcMar>
          </w:tcPr>
          <w:p>
            <w:pPr>
              <w:spacing w:after="30"/>
            </w:pPr>
            <w:r>
              <w:rPr>
                <w:sz w:val="16"/>
              </w:rPr>
              <w:t>Established</w:t>
            </w:r>
          </w:p>
        </w:tc>
        <w:tc>
          <w:tcPr>
            <w:tcW w:type="dxa" w:w="7992"/>
            <w:vAlign w:val="top"/>
            <w:tcMar>
              <w:top w:w="80" w:type="dxa"/>
              <w:start w:w="90" w:type="dxa"/>
              <w:bottom w:w="80" w:type="dxa"/>
              <w:end w:w="90" w:type="dxa"/>
            </w:tcMar>
          </w:tcPr>
          <w:p>
            <w:pPr>
              <w:spacing w:after="30"/>
            </w:pPr>
            <w:r>
              <w:rPr>
                <w:sz w:val="16"/>
              </w:rPr>
              <w:t>All leaders and Companions are treated as fallible; governance must assume susceptibility to bias, temptation, dependency, and self-justification.</w:t>
            </w:r>
          </w:p>
        </w:tc>
      </w:tr>
      <w:tr>
        <w:trPr>
          <w:cantSplit/>
        </w:trPr>
        <w:tc>
          <w:tcPr>
            <w:tcW w:type="dxa" w:w="1800"/>
            <w:vAlign w:val="top"/>
            <w:tcMar>
              <w:top w:w="80" w:type="dxa"/>
              <w:start w:w="90" w:type="dxa"/>
              <w:bottom w:w="80" w:type="dxa"/>
              <w:end w:w="90" w:type="dxa"/>
            </w:tcMar>
            <w:shd w:fill="F8FAFC"/>
          </w:tcPr>
          <w:p>
            <w:pPr>
              <w:spacing w:after="30"/>
            </w:pPr>
            <w:r>
              <w:rPr>
                <w:sz w:val="16"/>
              </w:rPr>
              <w:t>Established</w:t>
            </w:r>
          </w:p>
        </w:tc>
        <w:tc>
          <w:tcPr>
            <w:tcW w:type="dxa" w:w="7992"/>
            <w:vAlign w:val="top"/>
            <w:tcMar>
              <w:top w:w="80" w:type="dxa"/>
              <w:start w:w="90" w:type="dxa"/>
              <w:bottom w:w="80" w:type="dxa"/>
              <w:end w:w="90" w:type="dxa"/>
            </w:tcMar>
            <w:shd w:fill="F8FAFC"/>
          </w:tcPr>
          <w:p>
            <w:pPr>
              <w:spacing w:after="30"/>
            </w:pPr>
            <w:r>
              <w:rPr>
                <w:sz w:val="16"/>
              </w:rPr>
              <w:t>Every person retains dignity and conscience regardless of religious status.</w:t>
            </w:r>
          </w:p>
        </w:tc>
      </w:tr>
      <w:tr>
        <w:trPr>
          <w:cantSplit/>
        </w:trPr>
        <w:tc>
          <w:tcPr>
            <w:tcW w:type="dxa" w:w="1800"/>
            <w:vAlign w:val="top"/>
            <w:tcMar>
              <w:top w:w="80" w:type="dxa"/>
              <w:start w:w="90" w:type="dxa"/>
              <w:bottom w:w="80" w:type="dxa"/>
              <w:end w:w="90" w:type="dxa"/>
            </w:tcMar>
          </w:tcPr>
          <w:p>
            <w:pPr>
              <w:spacing w:after="30"/>
            </w:pPr>
            <w:r>
              <w:rPr>
                <w:sz w:val="16"/>
              </w:rPr>
              <w:t>Provisional</w:t>
            </w:r>
          </w:p>
        </w:tc>
        <w:tc>
          <w:tcPr>
            <w:tcW w:type="dxa" w:w="7992"/>
            <w:vAlign w:val="top"/>
            <w:tcMar>
              <w:top w:w="80" w:type="dxa"/>
              <w:start w:w="90" w:type="dxa"/>
              <w:bottom w:w="80" w:type="dxa"/>
              <w:end w:w="90" w:type="dxa"/>
            </w:tcMar>
          </w:tcPr>
          <w:p>
            <w:pPr>
              <w:spacing w:after="30"/>
            </w:pPr>
            <w:r>
              <w:rPr>
                <w:sz w:val="16"/>
              </w:rPr>
              <w:t>Formation should cultivate attention, honesty, compassion, restraint, service, repair, and intellectual humility because these respond to human vulnerabilities across models.</w:t>
            </w:r>
          </w:p>
        </w:tc>
      </w:tr>
      <w:tr>
        <w:trPr>
          <w:cantSplit/>
        </w:trPr>
        <w:tc>
          <w:tcPr>
            <w:tcW w:type="dxa" w:w="1800"/>
            <w:vAlign w:val="top"/>
            <w:tcMar>
              <w:top w:w="80" w:type="dxa"/>
              <w:start w:w="90" w:type="dxa"/>
              <w:bottom w:w="80" w:type="dxa"/>
              <w:end w:w="90" w:type="dxa"/>
            </w:tcMar>
            <w:shd w:fill="F8FAFC"/>
          </w:tcPr>
          <w:p>
            <w:pPr>
              <w:spacing w:after="30"/>
            </w:pPr>
            <w:r>
              <w:rPr>
                <w:sz w:val="16"/>
              </w:rPr>
              <w:t>Open Question</w:t>
            </w:r>
          </w:p>
        </w:tc>
        <w:tc>
          <w:tcPr>
            <w:tcW w:type="dxa" w:w="7992"/>
            <w:vAlign w:val="top"/>
            <w:tcMar>
              <w:top w:w="80" w:type="dxa"/>
              <w:start w:w="90" w:type="dxa"/>
              <w:bottom w:w="80" w:type="dxa"/>
              <w:end w:w="90" w:type="dxa"/>
            </w:tcMar>
            <w:shd w:fill="F8FAFC"/>
          </w:tcPr>
          <w:p>
            <w:pPr>
              <w:spacing w:after="30"/>
            </w:pPr>
            <w:r>
              <w:rPr>
                <w:sz w:val="16"/>
              </w:rPr>
              <w:t>Soul, consciousness after death, rebirth, resurrection, inherited sin, and ultimate mechanism of transformation.</w:t>
            </w:r>
          </w:p>
        </w:tc>
      </w:tr>
    </w:tbl>
    <w:p>
      <w:pPr>
        <w:pStyle w:val="Heading2"/>
      </w:pPr>
      <w:r>
        <w:t>What would materially change confidence?</w:t>
      </w:r>
    </w:p>
    <w:p>
      <w:pPr>
        <w:pStyle w:val="ListBullet"/>
      </w:pPr>
      <w:r>
        <w:t>Advances in philosophy/neuroscience of consciousness that strongly favor or undermine specific models of personal identity.</w:t>
      </w:r>
    </w:p>
    <w:p>
      <w:pPr>
        <w:pStyle w:val="ListBullet"/>
      </w:pPr>
      <w:r>
        <w:t>Credible evidence bearing on survival of consciousness, rebirth, resurrection, or other postmortem claims.</w:t>
      </w:r>
    </w:p>
    <w:p>
      <w:pPr>
        <w:pStyle w:val="ListBullet"/>
      </w:pPr>
      <w:r>
        <w:t>Better exegesis/source criticism clarifying what the earliest witnesses actually taught about personhood and moral failure.</w:t>
      </w:r>
    </w:p>
    <w:p>
      <w:pPr>
        <w:pStyle w:val="ListBullet"/>
      </w:pPr>
      <w:r>
        <w:t>Longitudinal evidence on which formation practices produce durable prosocial transformation without coercive harms.</w:t>
      </w:r>
    </w:p>
    <w:p>
      <w:pPr>
        <w:pStyle w:val="Heading2"/>
      </w:pPr>
      <w:r>
        <w:t>Next research questions</w:t>
      </w:r>
    </w:p>
    <w:p>
      <w:pPr>
        <w:pStyle w:val="ListBullet"/>
      </w:pPr>
      <w:r>
        <w:t>What is consciousness?</w:t>
      </w:r>
    </w:p>
    <w:p>
      <w:pPr>
        <w:pStyle w:val="ListBullet"/>
      </w:pPr>
      <w:r>
        <w:t>What constitutes personal identity over time?</w:t>
      </w:r>
    </w:p>
    <w:p>
      <w:pPr>
        <w:pStyle w:val="ListBullet"/>
      </w:pPr>
      <w:r>
        <w:t>How should sin, ignorance, craving, ego, trauma, habit, and social structure relate?</w:t>
      </w:r>
    </w:p>
    <w:p>
      <w:pPr>
        <w:pStyle w:val="ListBullet"/>
      </w:pPr>
      <w:r>
        <w:t>What exactly can be taught to children without imposing unresolved metaphysics?</w:t>
      </w:r>
    </w:p>
    <w:p>
      <w:pPr>
        <w:pStyle w:val="Heading1"/>
        <w:pageBreakBefore/>
      </w:pPr>
      <w:r>
        <w:t>Comparative synthesis</w:t>
      </w:r>
    </w:p>
    <w:p>
      <w:r>
        <w:t>The seven dossiers do not yield the conclusion that all religions are the same. They yield a narrower and more defensible result: major traditions preserve different witness systems addressing overlapping human questions, and those systems sometimes converge ethically or phenomenologically while remaining metaphysically incompatible.</w:t>
      </w:r>
    </w:p>
    <w:p>
      <w:r>
        <w:t>The Way can therefore inherit practices of disciplined attention, prayer, moral transformation, study, service, and companionship before it settles every metaphysical question. Practice must remain revisable where it rests on provisional theories.</w:t>
      </w:r>
    </w:p>
    <w:p>
      <w:r>
        <w:t>The founder is not a source class above the Library. Contemporary founder statements enter the record as testimony, argument, policy proposal, or teaching proposal and are evaluated through the same method.</w:t>
      </w:r>
    </w:p>
    <w:p>
      <w:pPr>
        <w:pStyle w:val="Heading1"/>
      </w:pPr>
      <w:r>
        <w:t>Research-source notes</w:t>
      </w:r>
    </w:p>
    <w:p>
      <w:pPr>
        <w:pStyle w:val="SmallNote"/>
      </w:pPr>
      <w:r>
        <w:rPr>
          <w:b/>
        </w:rPr>
        <w:t xml:space="preserve">S1 - Stanford Encyclopedia of Philosophy, "Philosophy of Religion". </w:t>
      </w:r>
      <w:r>
        <w:t xml:space="preserve">Alternative concepts of God/ultimate reality; religious and naturalistic worldviews. </w:t>
      </w:r>
      <w:r>
        <w:t>https://plato.stanford.edu/entries/philosophy-religion/</w:t>
      </w:r>
    </w:p>
    <w:p>
      <w:pPr>
        <w:pStyle w:val="SmallNote"/>
      </w:pPr>
      <w:r>
        <w:rPr>
          <w:b/>
        </w:rPr>
        <w:t xml:space="preserve">S2 - Stanford Encyclopedia of Philosophy, "God and Other Ultimates". </w:t>
      </w:r>
      <w:r>
        <w:t xml:space="preserve">Plural models of ultimacy: God, Brahman, Dao, emptiness, and others. </w:t>
      </w:r>
      <w:r>
        <w:t>https://plato.stanford.edu/entries/god-ultimates/</w:t>
      </w:r>
    </w:p>
    <w:p>
      <w:pPr>
        <w:pStyle w:val="SmallNote"/>
      </w:pPr>
      <w:r>
        <w:rPr>
          <w:b/>
        </w:rPr>
        <w:t xml:space="preserve">S3 - Stanford Encyclopedia of Philosophy, "Divine Revelation". </w:t>
      </w:r>
      <w:r>
        <w:t xml:space="preserve">Models of revelation and epistemic justification. </w:t>
      </w:r>
      <w:r>
        <w:t>https://plato.stanford.edu/entries/divine-revelation/</w:t>
      </w:r>
    </w:p>
    <w:p>
      <w:pPr>
        <w:pStyle w:val="SmallNote"/>
      </w:pPr>
      <w:r>
        <w:rPr>
          <w:b/>
        </w:rPr>
        <w:t xml:space="preserve">S4 - Stanford Encyclopedia of Philosophy, "Religious Diversity (Pluralism)". </w:t>
      </w:r>
      <w:r>
        <w:t xml:space="preserve">Exclusivist, inclusivist, pluralist responses; incompatible claims. </w:t>
      </w:r>
      <w:r>
        <w:t>https://plato.stanford.edu/entries/religious-pluralism/</w:t>
      </w:r>
    </w:p>
    <w:p>
      <w:pPr>
        <w:pStyle w:val="SmallNote"/>
      </w:pPr>
      <w:r>
        <w:rPr>
          <w:b/>
        </w:rPr>
        <w:t xml:space="preserve">S5 - Stanford Encyclopedia of Philosophy, "The Problem of Evil". </w:t>
      </w:r>
      <w:r>
        <w:t xml:space="preserve">Different concepts of God and evidential/logical problem of evil. </w:t>
      </w:r>
      <w:r>
        <w:t>https://plato.stanford.edu/entries/evil/</w:t>
      </w:r>
    </w:p>
    <w:p>
      <w:pPr>
        <w:pStyle w:val="SmallNote"/>
      </w:pPr>
      <w:r>
        <w:rPr>
          <w:b/>
        </w:rPr>
        <w:t xml:space="preserve">S6 - Sefaria, Deuteronomy 6:4-5 / Shema. </w:t>
      </w:r>
      <w:r>
        <w:t xml:space="preserve">Jewish biblical witness to divine unity and love of God. </w:t>
      </w:r>
      <w:r>
        <w:t>https://www.sefaria.org/Deuteronomy.6.4</w:t>
      </w:r>
    </w:p>
    <w:p>
      <w:pPr>
        <w:pStyle w:val="SmallNote"/>
      </w:pPr>
      <w:r>
        <w:rPr>
          <w:b/>
        </w:rPr>
        <w:t xml:space="preserve">S7 - Sefaria, Genesis 1:27. </w:t>
      </w:r>
      <w:r>
        <w:t xml:space="preserve">Image-of-God anthropology. </w:t>
      </w:r>
      <w:r>
        <w:t>https://www.sefaria.org/Genesis.1.27</w:t>
      </w:r>
    </w:p>
    <w:p>
      <w:pPr>
        <w:pStyle w:val="SmallNote"/>
      </w:pPr>
      <w:r>
        <w:rPr>
          <w:b/>
        </w:rPr>
        <w:t xml:space="preserve">S8 - Quran.com, Surah al-Ikhlas 112. </w:t>
      </w:r>
      <w:r>
        <w:t xml:space="preserve">Qur'anic divine unity/incomparability. </w:t>
      </w:r>
      <w:r>
        <w:t>https://quran.com/al-ikhlas</w:t>
      </w:r>
    </w:p>
    <w:p>
      <w:pPr>
        <w:pStyle w:val="SmallNote"/>
      </w:pPr>
      <w:r>
        <w:rPr>
          <w:b/>
        </w:rPr>
        <w:t xml:space="preserve">S9 - Quran.com, Qur'an 30:30. </w:t>
      </w:r>
      <w:r>
        <w:t xml:space="preserve">Fitrah language. </w:t>
      </w:r>
      <w:r>
        <w:t>https://quran.com/30/30</w:t>
      </w:r>
    </w:p>
    <w:p>
      <w:pPr>
        <w:pStyle w:val="SmallNote"/>
      </w:pPr>
      <w:r>
        <w:rPr>
          <w:b/>
        </w:rPr>
        <w:t xml:space="preserve">S10 - Quran.com, Qur'an 91:7-10. </w:t>
      </w:r>
      <w:r>
        <w:t xml:space="preserve">Soul, moral discernment, purification/corruption. </w:t>
      </w:r>
      <w:r>
        <w:t>https://quran.com/91/7-10</w:t>
      </w:r>
    </w:p>
    <w:p>
      <w:pPr>
        <w:pStyle w:val="SmallNote"/>
      </w:pPr>
      <w:r>
        <w:rPr>
          <w:b/>
        </w:rPr>
        <w:t xml:space="preserve">S11 - Quran.com, Qur'an 33:40. </w:t>
      </w:r>
      <w:r>
        <w:t xml:space="preserve">Muhammad as messenger and seal of prophets in Qur'anic text. </w:t>
      </w:r>
      <w:r>
        <w:t>https://quran.com/33/40</w:t>
      </w:r>
    </w:p>
    <w:p>
      <w:pPr>
        <w:pStyle w:val="SmallNote"/>
      </w:pPr>
      <w:r>
        <w:rPr>
          <w:b/>
        </w:rPr>
        <w:t xml:space="preserve">S12 - Oxford Academic, F. E. Peters, "Muhammad" (Oxford Bibliographies). </w:t>
      </w:r>
      <w:r>
        <w:t xml:space="preserve">Qur'an as principal early biographical source; broad scholarly judgment about proclamation. </w:t>
      </w:r>
      <w:r>
        <w:t>https://academic.oup.com/reference/62361/reference-article-abstract/554568841</w:t>
      </w:r>
    </w:p>
    <w:p>
      <w:pPr>
        <w:pStyle w:val="SmallNote"/>
      </w:pPr>
      <w:r>
        <w:rPr>
          <w:b/>
        </w:rPr>
        <w:t xml:space="preserve">S13 - Oxford Academic, Nathanael J. Andrade, Killing the Messiah (2025). </w:t>
      </w:r>
      <w:r>
        <w:t xml:space="preserve">Current historical analysis of Jesus, Gospels, Pilate, and crucifixion. </w:t>
      </w:r>
      <w:r>
        <w:t>https://academic.oup.com/book/59249</w:t>
      </w:r>
    </w:p>
    <w:p>
      <w:pPr>
        <w:pStyle w:val="SmallNote"/>
      </w:pPr>
      <w:r>
        <w:rPr>
          <w:b/>
        </w:rPr>
        <w:t xml:space="preserve">S14 - Oxford Academic, Graham Stanton, The Gospels and Jesus, "Assessing the Evidence". </w:t>
      </w:r>
      <w:r>
        <w:t xml:space="preserve">Gospels as sources written decades later using oral traditions. </w:t>
      </w:r>
      <w:r>
        <w:t>https://academic.oup.com/book/50340/chapter-abstract/422785887</w:t>
      </w:r>
    </w:p>
    <w:p>
      <w:pPr>
        <w:pStyle w:val="SmallNote"/>
      </w:pPr>
      <w:r>
        <w:rPr>
          <w:b/>
        </w:rPr>
        <w:t xml:space="preserve">S15 - Oxford Academic, Christopher Bryan, The Resurrection of the Messiah, Prologue. </w:t>
      </w:r>
      <w:r>
        <w:t xml:space="preserve">Crucifixion under Pilate as exceptionally secure historical datum; early follower claims. </w:t>
      </w:r>
      <w:r>
        <w:t>https://academic.oup.com/book/5689/chapter-abstract/148771264</w:t>
      </w:r>
    </w:p>
    <w:p>
      <w:pPr>
        <w:pStyle w:val="SmallNote"/>
      </w:pPr>
      <w:r>
        <w:rPr>
          <w:b/>
        </w:rPr>
        <w:t xml:space="preserve">S16 - Stanford Encyclopedia of Philosophy, "Buddha". </w:t>
      </w:r>
      <w:r>
        <w:t xml:space="preserve">Historical Buddha, early teachings, non-self, karma/rebirth, liberation. </w:t>
      </w:r>
      <w:r>
        <w:t>https://plato.stanford.edu/entries/buddha/</w:t>
      </w:r>
    </w:p>
    <w:p>
      <w:pPr>
        <w:pStyle w:val="SmallNote"/>
      </w:pPr>
      <w:r>
        <w:rPr>
          <w:b/>
        </w:rPr>
        <w:t xml:space="preserve">S17 - SuttaCentral, SN 56.11. </w:t>
      </w:r>
      <w:r>
        <w:t xml:space="preserve">Early Buddhist witness to four truths, middle way, eightfold path. </w:t>
      </w:r>
      <w:r>
        <w:t>https://suttacentral.net/sn56.11/en/bodhi</w:t>
      </w:r>
    </w:p>
    <w:p>
      <w:pPr>
        <w:pStyle w:val="SmallNote"/>
      </w:pPr>
      <w:r>
        <w:rPr>
          <w:b/>
        </w:rPr>
        <w:t xml:space="preserve">S18 - SuttaCentral, SN 22.59. </w:t>
      </w:r>
      <w:r>
        <w:t xml:space="preserve">Early Buddhist witness to non-self analysis. </w:t>
      </w:r>
      <w:r>
        <w:t>https://suttacentral.net/sn22.59/en/sujato</w:t>
      </w:r>
    </w:p>
    <w:p>
      <w:pPr>
        <w:pStyle w:val="SmallNote"/>
      </w:pPr>
      <w:r>
        <w:rPr>
          <w:b/>
        </w:rPr>
        <w:t xml:space="preserve">S19 - Cambridge University Press, R. S. Bucknell, Reconstructing Early Buddhism, "Scriptural Sources". </w:t>
      </w:r>
      <w:r>
        <w:t xml:space="preserve">Multiple early Buddhist textual lineages and comparative reconstruction. </w:t>
      </w:r>
      <w:r>
        <w:t>https://www.cambridge.org/core/books/abs/reconstructing-early-buddhism/scriptural-sources/43CC4E66C9D03DCA5959F613D7B09CBD</w:t>
      </w:r>
    </w:p>
    <w:p>
      <w:pPr>
        <w:pStyle w:val="SmallNote"/>
      </w:pPr>
      <w:r>
        <w:rPr>
          <w:b/>
        </w:rPr>
        <w:t xml:space="preserve">S20 - Oxford Academic, Donald Senior, "Formation of the Canon and Creation of the New Testament". </w:t>
      </w:r>
      <w:r>
        <w:t xml:space="preserve">Gradual NT canon formation and criteria. </w:t>
      </w:r>
      <w:r>
        <w:t>https://academic.oup.com/book/41140/chapter-abstract/350492151</w:t>
      </w:r>
    </w:p>
    <w:p>
      <w:pPr>
        <w:pStyle w:val="SmallNote"/>
      </w:pPr>
      <w:r>
        <w:rPr>
          <w:b/>
        </w:rPr>
        <w:t xml:space="preserve">S21 - Oxford Academic, Timothy Lim, "Authoritative Scriptures and the Dead Sea Scrolls". </w:t>
      </w:r>
      <w:r>
        <w:t xml:space="preserve">Qumran authority and graded authoritative literature. </w:t>
      </w:r>
      <w:r>
        <w:t>https://academic.oup.com/edited-volume/34366/chapter-abstract/291495791</w:t>
      </w:r>
    </w:p>
    <w:p>
      <w:pPr>
        <w:pStyle w:val="SmallNote"/>
      </w:pPr>
      <w:r>
        <w:rPr>
          <w:b/>
        </w:rPr>
        <w:t xml:space="preserve">S22 - Oxford Academic, John D. Meade, "Formation of the Christian Canon" (2025). </w:t>
      </w:r>
      <w:r>
        <w:t xml:space="preserve">Recent overview of Christian canon evidence and disputed books. </w:t>
      </w:r>
      <w:r>
        <w:t>https://academic.oup.com/edited-volume/61539/chapter-abstract/537116629</w:t>
      </w:r>
    </w:p>
    <w:p>
      <w:pPr>
        <w:pStyle w:val="SmallNote"/>
      </w:pPr>
      <w:r>
        <w:rPr>
          <w:b/>
        </w:rPr>
        <w:t xml:space="preserve">S23 - Oxford Academic, James C. VanderKam, "Formation of the Jewish Canon" (2025). </w:t>
      </w:r>
      <w:r>
        <w:t xml:space="preserve">Recent review of evidence for Jewish canon and authority. </w:t>
      </w:r>
      <w:r>
        <w:t>https://academic.oup.com/edited-volume/61539/chapter-abstract/537115912</w:t>
      </w:r>
    </w:p>
    <w:p>
      <w:pPr>
        <w:pStyle w:val="SmallNote"/>
      </w:pPr>
      <w:r>
        <w:rPr>
          <w:b/>
        </w:rPr>
        <w:t xml:space="preserve">S24 - SGPC, "Basic Articles". </w:t>
      </w:r>
      <w:r>
        <w:t xml:space="preserve">Official Sikh institutional summary of one God, equality, haumai, truthful living. </w:t>
      </w:r>
      <w:r>
        <w:t>https://sgpc.net/sikhism/basic-articles/</w:t>
      </w:r>
    </w:p>
    <w:p>
      <w:pPr>
        <w:pStyle w:val="SmallNote"/>
      </w:pPr>
      <w:r>
        <w:rPr>
          <w:b/>
        </w:rPr>
        <w:t xml:space="preserve">S25 - Bible Gateway, Mark 7:20-23. </w:t>
      </w:r>
      <w:r>
        <w:t xml:space="preserve">Jesus tradition on inner moral defilement. </w:t>
      </w:r>
      <w:r>
        <w:t>https://www.biblegateway.com/passage/?search=Mark%207%3A20-23</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September 19,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UNDECIDED | Theological Research v0.8 | Foundational Dossiers 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C59D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29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Aptos" w:hAnsi="Aptos"/>
      <w:b w:val="0"/>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47556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