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475569"/>
          <w:sz w:val="26"/>
        </w:rPr>
        <w:t>THE WAY</w:t>
      </w:r>
    </w:p>
    <w:p>
      <w:pPr>
        <w:jc w:val="center"/>
      </w:pPr>
      <w:r>
        <w:rPr>
          <w:b/>
          <w:color w:val="1F2937"/>
          <w:sz w:val="54"/>
        </w:rPr>
        <w:t>Prayer, Gatherings &amp; Rites Book</w:t>
      </w:r>
    </w:p>
    <w:p>
      <w:pPr>
        <w:jc w:val="center"/>
      </w:pPr>
      <w:r>
        <w:rPr>
          <w:color w:val="475569"/>
          <w:sz w:val="24"/>
        </w:rPr>
        <w:t>Provisional forms for daily prayer, House gatherings, Common Table, discernment, healing, mourning, welcome, and commissioning</w:t>
      </w:r>
    </w:p>
    <w:p>
      <w:pPr>
        <w:jc w:val="center"/>
      </w:pPr>
      <w:r>
        <w:rPr>
          <w:color w:val="64748B"/>
          <w:sz w:val="18"/>
        </w:rPr>
        <w:t>Version 0.7 | September 19, 2026 | Working draft for UNDECIDED</w:t>
      </w:r>
    </w:p>
    <w:p/>
    <w:p>
      <w:pPr>
        <w:spacing w:before="80" w:after="80"/>
        <w:ind w:left="403" w:right="403"/>
        <w:shd w:fill="F1F5F9"/>
      </w:pPr>
      <w:r>
        <w:rPr>
          <w:color w:val="334155"/>
          <w:sz w:val="20"/>
        </w:rPr>
        <w:t xml:space="preserve">  These are first-generation working forms. A House may adapt them transparently. No wording is treated as magically necessary, and no rite may override conscience, safeguarding, medical care, civil law, or the limits of ministry authority.  </w:t>
      </w:r>
    </w:p>
    <w:p>
      <w:r>
        <w:br w:type="page"/>
      </w:r>
    </w:p>
    <w:p>
      <w:pPr>
        <w:pStyle w:val="Heading1"/>
      </w:pPr>
      <w:r>
        <w:t>1. Principles for liturgy and prayer</w:t>
      </w:r>
    </w:p>
    <w:p>
      <w:pPr>
        <w:pStyle w:val="ListBullet"/>
      </w:pPr>
      <w:r>
        <w:t>Stable structure can form attention and memory without requiring a single immutable text.</w:t>
      </w:r>
    </w:p>
    <w:p>
      <w:pPr>
        <w:pStyle w:val="ListBullet"/>
      </w:pPr>
      <w:r>
        <w:t>Fixed and spontaneous prayer may coexist.</w:t>
      </w:r>
    </w:p>
    <w:p>
      <w:pPr>
        <w:pStyle w:val="ListBullet"/>
      </w:pPr>
      <w:r>
        <w:t>Silence is a practice, not proof that a leader's preferred conclusion is divine.</w:t>
      </w:r>
    </w:p>
    <w:p>
      <w:pPr>
        <w:pStyle w:val="ListBullet"/>
      </w:pPr>
      <w:r>
        <w:t>Language for God may vary within the bounds of current theology and conscience; Houses should avoid pretending unlike traditions mean exactly the same thing.</w:t>
      </w:r>
    </w:p>
    <w:p>
      <w:pPr>
        <w:pStyle w:val="ListBullet"/>
      </w:pPr>
      <w:r>
        <w:t>No public confession of private sin, trauma, sexuality, finances, or family matters is required.</w:t>
      </w:r>
    </w:p>
    <w:p>
      <w:pPr>
        <w:pStyle w:val="ListBullet"/>
      </w:pPr>
      <w:r>
        <w:t>Children and vulnerable persons participate under safeguarding rules and may decline public performance.</w:t>
      </w:r>
    </w:p>
    <w:p>
      <w:pPr>
        <w:pStyle w:val="Heading1"/>
      </w:pPr>
      <w:r>
        <w:t>2. Brief Morning Prayer - working form</w:t>
      </w:r>
    </w:p>
    <w:p>
      <w:pPr>
        <w:pStyle w:val="Heading2"/>
      </w:pPr>
      <w:r>
        <w:t>Stillness</w:t>
      </w:r>
    </w:p>
    <w:p>
      <w:r>
        <w:t>Sit or stand in silence long enough to arrive. Breathe normally. No special state is required.</w:t>
      </w:r>
    </w:p>
    <w:p>
      <w:pPr>
        <w:pStyle w:val="Heading2"/>
      </w:pPr>
      <w:r>
        <w:t>Remembrance</w:t>
      </w:r>
    </w:p>
    <w:p>
      <w:r>
        <w:t>"Reality is greater than our understanding. Truth does not depend on our certainty. May we walk honestly today."</w:t>
      </w:r>
    </w:p>
    <w:p>
      <w:pPr>
        <w:pStyle w:val="Heading2"/>
      </w:pPr>
      <w:r>
        <w:t>Gratitude</w:t>
      </w:r>
    </w:p>
    <w:p>
      <w:r>
        <w:t>Name one or more gifts of life, relationship, creation, mercy, insight, or opportunity.</w:t>
      </w:r>
    </w:p>
    <w:p>
      <w:pPr>
        <w:pStyle w:val="Heading2"/>
      </w:pPr>
      <w:r>
        <w:t>Intention</w:t>
      </w:r>
    </w:p>
    <w:p>
      <w:r>
        <w:t>Ask: What requires truthfulness, courage, mercy, restraint, repair, or service from me today?</w:t>
      </w:r>
    </w:p>
    <w:p>
      <w:pPr>
        <w:pStyle w:val="Heading2"/>
      </w:pPr>
      <w:r>
        <w:t>Intercession</w:t>
      </w:r>
    </w:p>
    <w:p>
      <w:r>
        <w:t>Hold in prayer persons, communities, suffering, conflict, and needs known to you.</w:t>
      </w:r>
    </w:p>
    <w:p>
      <w:pPr>
        <w:pStyle w:val="Heading2"/>
      </w:pPr>
      <w:r>
        <w:t>Sending</w:t>
      </w:r>
    </w:p>
    <w:p>
      <w:r>
        <w:t>"May what is true become clearer; may what is good become practice; may I do no harm through certainty, fear, or neglect."</w:t>
      </w:r>
    </w:p>
    <w:p>
      <w:pPr>
        <w:pStyle w:val="Heading1"/>
      </w:pPr>
      <w:r>
        <w:t>3. Evening Review - working form</w:t>
      </w:r>
    </w:p>
    <w:p>
      <w:pPr>
        <w:spacing w:after="40"/>
        <w:ind w:left="317" w:hanging="317"/>
      </w:pPr>
      <w:r>
        <w:t>1.  Become still and recall the day without self-dramatization.</w:t>
      </w:r>
    </w:p>
    <w:p>
      <w:pPr>
        <w:spacing w:after="40"/>
        <w:ind w:left="317" w:hanging="317"/>
      </w:pPr>
      <w:r>
        <w:t>2.  Give thanks for specific goods received or witnessed.</w:t>
      </w:r>
    </w:p>
    <w:p>
      <w:pPr>
        <w:spacing w:after="40"/>
        <w:ind w:left="317" w:hanging="317"/>
      </w:pPr>
      <w:r>
        <w:t>3.  Name where you acted truthfully, mercifully, courageously, or helpfully.</w:t>
      </w:r>
    </w:p>
    <w:p>
      <w:pPr>
        <w:spacing w:after="40"/>
        <w:ind w:left="317" w:hanging="317"/>
      </w:pPr>
      <w:r>
        <w:t>4.  Name where you harmed, deceived, avoided responsibility, or failed to act. Do not confuse shame with repair.</w:t>
      </w:r>
    </w:p>
    <w:p>
      <w:pPr>
        <w:spacing w:after="40"/>
        <w:ind w:left="317" w:hanging="317"/>
      </w:pPr>
      <w:r>
        <w:t>5.  Identify any concrete repair: apology, restitution, report, boundary, changed plan, or request for help.</w:t>
      </w:r>
    </w:p>
    <w:p>
      <w:pPr>
        <w:spacing w:after="40"/>
        <w:ind w:left="317" w:hanging="317"/>
      </w:pPr>
      <w:r>
        <w:t>6.  Remember others in prayer and release what cannot be solved tonight.</w:t>
      </w:r>
    </w:p>
    <w:p>
      <w:pPr>
        <w:spacing w:after="40"/>
        <w:ind w:left="317" w:hanging="317"/>
      </w:pPr>
      <w:r>
        <w:t>7.  Close with rest: "The day is complete. What remains unfinished can be met again in truth."</w:t>
      </w:r>
    </w:p>
    <w:p>
      <w:pPr>
        <w:pStyle w:val="Heading1"/>
      </w:pPr>
      <w:r>
        <w:t>4. Standard House Gathering - 60 to 90 minute prototype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880"/>
            <w:shd w:fill="334155"/>
            <w:tcMar>
              <w:top w:w="80" w:type="dxa"/>
              <w:start w:w="90" w:type="dxa"/>
              <w:bottom w:w="80" w:type="dxa"/>
              <w:end w:w="90" w:type="dxa"/>
            </w:tcMar>
          </w:tcPr>
          <w:p>
            <w:pPr>
              <w:jc w:val="center"/>
            </w:pPr>
            <w:r>
              <w:rPr>
                <w:b/>
                <w:color w:val="FFFFFF"/>
                <w:sz w:val="15"/>
              </w:rPr>
              <w:t>Movement</w:t>
            </w:r>
          </w:p>
        </w:tc>
        <w:tc>
          <w:tcPr>
            <w:tcW w:type="dxa" w:w="1440"/>
            <w:shd w:fill="334155"/>
            <w:tcMar>
              <w:top w:w="80" w:type="dxa"/>
              <w:start w:w="90" w:type="dxa"/>
              <w:bottom w:w="80" w:type="dxa"/>
              <w:end w:w="90" w:type="dxa"/>
            </w:tcMar>
          </w:tcPr>
          <w:p>
            <w:pPr>
              <w:jc w:val="center"/>
            </w:pPr>
            <w:r>
              <w:rPr>
                <w:b/>
                <w:color w:val="FFFFFF"/>
                <w:sz w:val="15"/>
              </w:rPr>
              <w:t>Time</w:t>
            </w:r>
          </w:p>
        </w:tc>
        <w:tc>
          <w:tcPr>
            <w:tcW w:type="dxa" w:w="6984"/>
            <w:shd w:fill="334155"/>
            <w:tcMar>
              <w:top w:w="80" w:type="dxa"/>
              <w:start w:w="90" w:type="dxa"/>
              <w:bottom w:w="80" w:type="dxa"/>
              <w:end w:w="90" w:type="dxa"/>
            </w:tcMar>
          </w:tcPr>
          <w:p>
            <w:pPr>
              <w:jc w:val="center"/>
            </w:pPr>
            <w:r>
              <w:rPr>
                <w:b/>
                <w:color w:val="FFFFFF"/>
                <w:sz w:val="15"/>
              </w:rPr>
              <w:t>Notes</w:t>
            </w:r>
          </w:p>
        </w:tc>
      </w:tr>
      <w:tr>
        <w:trPr>
          <w:cantSplit/>
        </w:trPr>
        <w:tc>
          <w:tcPr>
            <w:tcW w:type="dxa" w:w="2880"/>
            <w:tcMar>
              <w:top w:w="80" w:type="dxa"/>
              <w:start w:w="90" w:type="dxa"/>
              <w:bottom w:w="80" w:type="dxa"/>
              <w:end w:w="90" w:type="dxa"/>
            </w:tcMar>
            <w:vAlign w:val="top"/>
          </w:tcPr>
          <w:p>
            <w:pPr>
              <w:spacing w:after="0"/>
            </w:pPr>
            <w:r>
              <w:rPr>
                <w:color w:val="1F2937"/>
                <w:sz w:val="15"/>
              </w:rPr>
              <w:t>1. Welcome and rights reminder</w:t>
            </w:r>
          </w:p>
        </w:tc>
        <w:tc>
          <w:tcPr>
            <w:tcW w:type="dxa" w:w="1440"/>
            <w:tcMar>
              <w:top w:w="80" w:type="dxa"/>
              <w:start w:w="90" w:type="dxa"/>
              <w:bottom w:w="80" w:type="dxa"/>
              <w:end w:w="90" w:type="dxa"/>
            </w:tcMar>
            <w:vAlign w:val="top"/>
          </w:tcPr>
          <w:p>
            <w:pPr>
              <w:spacing w:after="0"/>
            </w:pPr>
            <w:r>
              <w:rPr>
                <w:color w:val="1F2937"/>
                <w:sz w:val="15"/>
              </w:rPr>
              <w:t>2-5 min</w:t>
            </w:r>
          </w:p>
        </w:tc>
        <w:tc>
          <w:tcPr>
            <w:tcW w:type="dxa" w:w="6984"/>
            <w:tcMar>
              <w:top w:w="80" w:type="dxa"/>
              <w:start w:w="90" w:type="dxa"/>
              <w:bottom w:w="80" w:type="dxa"/>
              <w:end w:w="90" w:type="dxa"/>
            </w:tcMar>
            <w:vAlign w:val="top"/>
          </w:tcPr>
          <w:p>
            <w:pPr>
              <w:spacing w:after="0"/>
            </w:pPr>
            <w:r>
              <w:rPr>
                <w:color w:val="1F2937"/>
                <w:sz w:val="15"/>
              </w:rPr>
              <w:t>Open gathering; newcomers told participation is voluntary and questions are welcome.</w:t>
            </w:r>
          </w:p>
        </w:tc>
      </w:tr>
      <w:tr>
        <w:trPr>
          <w:cantSplit/>
        </w:trPr>
        <w:tc>
          <w:tcPr>
            <w:tcW w:type="dxa" w:w="2880"/>
            <w:tcMar>
              <w:top w:w="80" w:type="dxa"/>
              <w:start w:w="90" w:type="dxa"/>
              <w:bottom w:w="80" w:type="dxa"/>
              <w:end w:w="90" w:type="dxa"/>
            </w:tcMar>
            <w:vAlign w:val="top"/>
          </w:tcPr>
          <w:p>
            <w:pPr>
              <w:spacing w:after="0"/>
            </w:pPr>
            <w:r>
              <w:rPr>
                <w:color w:val="1F2937"/>
                <w:sz w:val="15"/>
              </w:rPr>
              <w:t>2. Stillness / opening prayer</w:t>
            </w:r>
          </w:p>
        </w:tc>
        <w:tc>
          <w:tcPr>
            <w:tcW w:type="dxa" w:w="1440"/>
            <w:tcMar>
              <w:top w:w="80" w:type="dxa"/>
              <w:start w:w="90" w:type="dxa"/>
              <w:bottom w:w="80" w:type="dxa"/>
              <w:end w:w="90" w:type="dxa"/>
            </w:tcMar>
            <w:vAlign w:val="top"/>
          </w:tcPr>
          <w:p>
            <w:pPr>
              <w:spacing w:after="0"/>
            </w:pPr>
            <w:r>
              <w:rPr>
                <w:color w:val="1F2937"/>
                <w:sz w:val="15"/>
              </w:rPr>
              <w:t>5 min</w:t>
            </w:r>
          </w:p>
        </w:tc>
        <w:tc>
          <w:tcPr>
            <w:tcW w:type="dxa" w:w="6984"/>
            <w:tcMar>
              <w:top w:w="80" w:type="dxa"/>
              <w:start w:w="90" w:type="dxa"/>
              <w:bottom w:w="80" w:type="dxa"/>
              <w:end w:w="90" w:type="dxa"/>
            </w:tcMar>
            <w:vAlign w:val="top"/>
          </w:tcPr>
          <w:p>
            <w:pPr>
              <w:spacing w:after="0"/>
            </w:pPr>
            <w:r>
              <w:rPr>
                <w:color w:val="1F2937"/>
                <w:sz w:val="15"/>
              </w:rPr>
              <w:t>Brief silence and prayer.</w:t>
            </w:r>
          </w:p>
        </w:tc>
      </w:tr>
      <w:tr>
        <w:trPr>
          <w:cantSplit/>
        </w:trPr>
        <w:tc>
          <w:tcPr>
            <w:tcW w:type="dxa" w:w="2880"/>
            <w:tcMar>
              <w:top w:w="80" w:type="dxa"/>
              <w:start w:w="90" w:type="dxa"/>
              <w:bottom w:w="80" w:type="dxa"/>
              <w:end w:w="90" w:type="dxa"/>
            </w:tcMar>
            <w:vAlign w:val="top"/>
          </w:tcPr>
          <w:p>
            <w:pPr>
              <w:spacing w:after="0"/>
            </w:pPr>
            <w:r>
              <w:rPr>
                <w:color w:val="1F2937"/>
                <w:sz w:val="15"/>
              </w:rPr>
              <w:t>3. Sacred witness / reading</w:t>
            </w:r>
          </w:p>
        </w:tc>
        <w:tc>
          <w:tcPr>
            <w:tcW w:type="dxa" w:w="1440"/>
            <w:tcMar>
              <w:top w:w="80" w:type="dxa"/>
              <w:start w:w="90" w:type="dxa"/>
              <w:bottom w:w="80" w:type="dxa"/>
              <w:end w:w="90" w:type="dxa"/>
            </w:tcMar>
            <w:vAlign w:val="top"/>
          </w:tcPr>
          <w:p>
            <w:pPr>
              <w:spacing w:after="0"/>
            </w:pPr>
            <w:r>
              <w:rPr>
                <w:color w:val="1F2937"/>
                <w:sz w:val="15"/>
              </w:rPr>
              <w:t>10 min</w:t>
            </w:r>
          </w:p>
        </w:tc>
        <w:tc>
          <w:tcPr>
            <w:tcW w:type="dxa" w:w="6984"/>
            <w:tcMar>
              <w:top w:w="80" w:type="dxa"/>
              <w:start w:w="90" w:type="dxa"/>
              <w:bottom w:w="80" w:type="dxa"/>
              <w:end w:w="90" w:type="dxa"/>
            </w:tcMar>
            <w:vAlign w:val="top"/>
          </w:tcPr>
          <w:p>
            <w:pPr>
              <w:spacing w:after="0"/>
            </w:pPr>
            <w:r>
              <w:rPr>
                <w:color w:val="1F2937"/>
                <w:sz w:val="15"/>
              </w:rPr>
              <w:t>A text/testimony clearly identified by source and context.</w:t>
            </w:r>
          </w:p>
        </w:tc>
      </w:tr>
      <w:tr>
        <w:trPr>
          <w:cantSplit/>
        </w:trPr>
        <w:tc>
          <w:tcPr>
            <w:tcW w:type="dxa" w:w="2880"/>
            <w:tcMar>
              <w:top w:w="80" w:type="dxa"/>
              <w:start w:w="90" w:type="dxa"/>
              <w:bottom w:w="80" w:type="dxa"/>
              <w:end w:w="90" w:type="dxa"/>
            </w:tcMar>
            <w:vAlign w:val="top"/>
          </w:tcPr>
          <w:p>
            <w:pPr>
              <w:spacing w:after="0"/>
            </w:pPr>
            <w:r>
              <w:rPr>
                <w:color w:val="1F2937"/>
                <w:sz w:val="15"/>
              </w:rPr>
              <w:t>4. Teaching / reflection</w:t>
            </w:r>
          </w:p>
        </w:tc>
        <w:tc>
          <w:tcPr>
            <w:tcW w:type="dxa" w:w="1440"/>
            <w:tcMar>
              <w:top w:w="80" w:type="dxa"/>
              <w:start w:w="90" w:type="dxa"/>
              <w:bottom w:w="80" w:type="dxa"/>
              <w:end w:w="90" w:type="dxa"/>
            </w:tcMar>
            <w:vAlign w:val="top"/>
          </w:tcPr>
          <w:p>
            <w:pPr>
              <w:spacing w:after="0"/>
            </w:pPr>
            <w:r>
              <w:rPr>
                <w:color w:val="1F2937"/>
                <w:sz w:val="15"/>
              </w:rPr>
              <w:t>10-20 min</w:t>
            </w:r>
          </w:p>
        </w:tc>
        <w:tc>
          <w:tcPr>
            <w:tcW w:type="dxa" w:w="6984"/>
            <w:tcMar>
              <w:top w:w="80" w:type="dxa"/>
              <w:start w:w="90" w:type="dxa"/>
              <w:bottom w:w="80" w:type="dxa"/>
              <w:end w:w="90" w:type="dxa"/>
            </w:tcMar>
            <w:vAlign w:val="top"/>
          </w:tcPr>
          <w:p>
            <w:pPr>
              <w:spacing w:after="0"/>
            </w:pPr>
            <w:r>
              <w:rPr>
                <w:color w:val="1F2937"/>
                <w:sz w:val="15"/>
              </w:rPr>
              <w:t>Current teaching, historical framing, or inquiry; uncertainty named.</w:t>
            </w:r>
          </w:p>
        </w:tc>
      </w:tr>
      <w:tr>
        <w:trPr>
          <w:cantSplit/>
        </w:trPr>
        <w:tc>
          <w:tcPr>
            <w:tcW w:type="dxa" w:w="2880"/>
            <w:tcMar>
              <w:top w:w="80" w:type="dxa"/>
              <w:start w:w="90" w:type="dxa"/>
              <w:bottom w:w="80" w:type="dxa"/>
              <w:end w:w="90" w:type="dxa"/>
            </w:tcMar>
            <w:vAlign w:val="top"/>
          </w:tcPr>
          <w:p>
            <w:pPr>
              <w:spacing w:after="0"/>
            </w:pPr>
            <w:r>
              <w:rPr>
                <w:color w:val="1F2937"/>
                <w:sz w:val="15"/>
              </w:rPr>
              <w:t>5. Response / discussion / silence</w:t>
            </w:r>
          </w:p>
        </w:tc>
        <w:tc>
          <w:tcPr>
            <w:tcW w:type="dxa" w:w="1440"/>
            <w:tcMar>
              <w:top w:w="80" w:type="dxa"/>
              <w:start w:w="90" w:type="dxa"/>
              <w:bottom w:w="80" w:type="dxa"/>
              <w:end w:w="90" w:type="dxa"/>
            </w:tcMar>
            <w:vAlign w:val="top"/>
          </w:tcPr>
          <w:p>
            <w:pPr>
              <w:spacing w:after="0"/>
            </w:pPr>
            <w:r>
              <w:rPr>
                <w:color w:val="1F2937"/>
                <w:sz w:val="15"/>
              </w:rPr>
              <w:t>10-20 min</w:t>
            </w:r>
          </w:p>
        </w:tc>
        <w:tc>
          <w:tcPr>
            <w:tcW w:type="dxa" w:w="6984"/>
            <w:tcMar>
              <w:top w:w="80" w:type="dxa"/>
              <w:start w:w="90" w:type="dxa"/>
              <w:bottom w:w="80" w:type="dxa"/>
              <w:end w:w="90" w:type="dxa"/>
            </w:tcMar>
            <w:vAlign w:val="top"/>
          </w:tcPr>
          <w:p>
            <w:pPr>
              <w:spacing w:after="0"/>
            </w:pPr>
            <w:r>
              <w:rPr>
                <w:color w:val="1F2937"/>
                <w:sz w:val="15"/>
              </w:rPr>
              <w:t>Questions and respectful disagreement permitted.</w:t>
            </w:r>
          </w:p>
        </w:tc>
      </w:tr>
      <w:tr>
        <w:trPr>
          <w:cantSplit/>
        </w:trPr>
        <w:tc>
          <w:tcPr>
            <w:tcW w:type="dxa" w:w="2880"/>
            <w:tcMar>
              <w:top w:w="80" w:type="dxa"/>
              <w:start w:w="90" w:type="dxa"/>
              <w:bottom w:w="80" w:type="dxa"/>
              <w:end w:w="90" w:type="dxa"/>
            </w:tcMar>
            <w:vAlign w:val="top"/>
          </w:tcPr>
          <w:p>
            <w:pPr>
              <w:spacing w:after="0"/>
            </w:pPr>
            <w:r>
              <w:rPr>
                <w:color w:val="1F2937"/>
                <w:sz w:val="15"/>
              </w:rPr>
              <w:t>6. Intercession / lament / gratitude</w:t>
            </w:r>
          </w:p>
        </w:tc>
        <w:tc>
          <w:tcPr>
            <w:tcW w:type="dxa" w:w="1440"/>
            <w:tcMar>
              <w:top w:w="80" w:type="dxa"/>
              <w:start w:w="90" w:type="dxa"/>
              <w:bottom w:w="80" w:type="dxa"/>
              <w:end w:w="90" w:type="dxa"/>
            </w:tcMar>
            <w:vAlign w:val="top"/>
          </w:tcPr>
          <w:p>
            <w:pPr>
              <w:spacing w:after="0"/>
            </w:pPr>
            <w:r>
              <w:rPr>
                <w:color w:val="1F2937"/>
                <w:sz w:val="15"/>
              </w:rPr>
              <w:t>10 min</w:t>
            </w:r>
          </w:p>
        </w:tc>
        <w:tc>
          <w:tcPr>
            <w:tcW w:type="dxa" w:w="6984"/>
            <w:tcMar>
              <w:top w:w="80" w:type="dxa"/>
              <w:start w:w="90" w:type="dxa"/>
              <w:bottom w:w="80" w:type="dxa"/>
              <w:end w:w="90" w:type="dxa"/>
            </w:tcMar>
            <w:vAlign w:val="top"/>
          </w:tcPr>
          <w:p>
            <w:pPr>
              <w:spacing w:after="0"/>
            </w:pPr>
            <w:r>
              <w:rPr>
                <w:color w:val="1F2937"/>
                <w:sz w:val="15"/>
              </w:rPr>
              <w:t>Voluntary needs; protect privacy.</w:t>
            </w:r>
          </w:p>
        </w:tc>
      </w:tr>
      <w:tr>
        <w:trPr>
          <w:cantSplit/>
        </w:trPr>
        <w:tc>
          <w:tcPr>
            <w:tcW w:type="dxa" w:w="2880"/>
            <w:tcMar>
              <w:top w:w="80" w:type="dxa"/>
              <w:start w:w="90" w:type="dxa"/>
              <w:bottom w:w="80" w:type="dxa"/>
              <w:end w:w="90" w:type="dxa"/>
            </w:tcMar>
            <w:vAlign w:val="top"/>
          </w:tcPr>
          <w:p>
            <w:pPr>
              <w:spacing w:after="0"/>
            </w:pPr>
            <w:r>
              <w:rPr>
                <w:color w:val="1F2937"/>
                <w:sz w:val="15"/>
              </w:rPr>
              <w:t>7. Service and community notices</w:t>
            </w:r>
          </w:p>
        </w:tc>
        <w:tc>
          <w:tcPr>
            <w:tcW w:type="dxa" w:w="1440"/>
            <w:tcMar>
              <w:top w:w="80" w:type="dxa"/>
              <w:start w:w="90" w:type="dxa"/>
              <w:bottom w:w="80" w:type="dxa"/>
              <w:end w:w="90" w:type="dxa"/>
            </w:tcMar>
            <w:vAlign w:val="top"/>
          </w:tcPr>
          <w:p>
            <w:pPr>
              <w:spacing w:after="0"/>
            </w:pPr>
            <w:r>
              <w:rPr>
                <w:color w:val="1F2937"/>
                <w:sz w:val="15"/>
              </w:rPr>
              <w:t>5-10 min</w:t>
            </w:r>
          </w:p>
        </w:tc>
        <w:tc>
          <w:tcPr>
            <w:tcW w:type="dxa" w:w="6984"/>
            <w:tcMar>
              <w:top w:w="80" w:type="dxa"/>
              <w:start w:w="90" w:type="dxa"/>
              <w:bottom w:w="80" w:type="dxa"/>
              <w:end w:w="90" w:type="dxa"/>
            </w:tcMar>
            <w:vAlign w:val="top"/>
          </w:tcPr>
          <w:p>
            <w:pPr>
              <w:spacing w:after="0"/>
            </w:pPr>
            <w:r>
              <w:rPr>
                <w:color w:val="1F2937"/>
                <w:sz w:val="15"/>
              </w:rPr>
              <w:t>Charitable needs, practical care, transparent operations.</w:t>
            </w:r>
          </w:p>
        </w:tc>
      </w:tr>
      <w:tr>
        <w:trPr>
          <w:cantSplit/>
        </w:trPr>
        <w:tc>
          <w:tcPr>
            <w:tcW w:type="dxa" w:w="2880"/>
            <w:tcMar>
              <w:top w:w="80" w:type="dxa"/>
              <w:start w:w="90" w:type="dxa"/>
              <w:bottom w:w="80" w:type="dxa"/>
              <w:end w:w="90" w:type="dxa"/>
            </w:tcMar>
            <w:vAlign w:val="top"/>
          </w:tcPr>
          <w:p>
            <w:pPr>
              <w:spacing w:after="0"/>
            </w:pPr>
            <w:r>
              <w:rPr>
                <w:color w:val="1F2937"/>
                <w:sz w:val="15"/>
              </w:rPr>
              <w:t>8. Sending</w:t>
            </w:r>
          </w:p>
        </w:tc>
        <w:tc>
          <w:tcPr>
            <w:tcW w:type="dxa" w:w="1440"/>
            <w:tcMar>
              <w:top w:w="80" w:type="dxa"/>
              <w:start w:w="90" w:type="dxa"/>
              <w:bottom w:w="80" w:type="dxa"/>
              <w:end w:w="90" w:type="dxa"/>
            </w:tcMar>
            <w:vAlign w:val="top"/>
          </w:tcPr>
          <w:p>
            <w:pPr>
              <w:spacing w:after="0"/>
            </w:pPr>
            <w:r>
              <w:rPr>
                <w:color w:val="1F2937"/>
                <w:sz w:val="15"/>
              </w:rPr>
              <w:t>2-5 min</w:t>
            </w:r>
          </w:p>
        </w:tc>
        <w:tc>
          <w:tcPr>
            <w:tcW w:type="dxa" w:w="6984"/>
            <w:tcMar>
              <w:top w:w="80" w:type="dxa"/>
              <w:start w:w="90" w:type="dxa"/>
              <w:bottom w:w="80" w:type="dxa"/>
              <w:end w:w="90" w:type="dxa"/>
            </w:tcMar>
            <w:vAlign w:val="top"/>
          </w:tcPr>
          <w:p>
            <w:pPr>
              <w:spacing w:after="0"/>
            </w:pPr>
            <w:r>
              <w:rPr>
                <w:color w:val="1F2937"/>
                <w:sz w:val="15"/>
              </w:rPr>
              <w:t>Dedication to truthful practice and service.</w:t>
            </w:r>
          </w:p>
        </w:tc>
      </w:tr>
      <w:tr>
        <w:trPr>
          <w:cantSplit/>
        </w:trPr>
        <w:tc>
          <w:tcPr>
            <w:tcW w:type="dxa" w:w="2880"/>
            <w:tcMar>
              <w:top w:w="80" w:type="dxa"/>
              <w:start w:w="90" w:type="dxa"/>
              <w:bottom w:w="80" w:type="dxa"/>
              <w:end w:w="90" w:type="dxa"/>
            </w:tcMar>
            <w:vAlign w:val="top"/>
          </w:tcPr>
          <w:p>
            <w:pPr>
              <w:spacing w:after="0"/>
            </w:pPr>
            <w:r>
              <w:rPr>
                <w:color w:val="1F2937"/>
                <w:sz w:val="15"/>
              </w:rPr>
              <w:t>9. Fellowship / Common Table</w:t>
            </w:r>
          </w:p>
        </w:tc>
        <w:tc>
          <w:tcPr>
            <w:tcW w:type="dxa" w:w="1440"/>
            <w:tcMar>
              <w:top w:w="80" w:type="dxa"/>
              <w:start w:w="90" w:type="dxa"/>
              <w:bottom w:w="80" w:type="dxa"/>
              <w:end w:w="90" w:type="dxa"/>
            </w:tcMar>
            <w:vAlign w:val="top"/>
          </w:tcPr>
          <w:p>
            <w:pPr>
              <w:spacing w:after="0"/>
            </w:pPr>
            <w:r>
              <w:rPr>
                <w:color w:val="1F2937"/>
                <w:sz w:val="15"/>
              </w:rPr>
              <w:t>Optional</w:t>
            </w:r>
          </w:p>
        </w:tc>
        <w:tc>
          <w:tcPr>
            <w:tcW w:type="dxa" w:w="6984"/>
            <w:tcMar>
              <w:top w:w="80" w:type="dxa"/>
              <w:start w:w="90" w:type="dxa"/>
              <w:bottom w:w="80" w:type="dxa"/>
              <w:end w:w="90" w:type="dxa"/>
            </w:tcMar>
            <w:vAlign w:val="top"/>
          </w:tcPr>
          <w:p>
            <w:pPr>
              <w:spacing w:after="0"/>
            </w:pPr>
            <w:r>
              <w:rPr>
                <w:color w:val="1F2937"/>
                <w:sz w:val="15"/>
              </w:rPr>
              <w:t>Food/hospitality without status seating or belief test.</w:t>
            </w:r>
          </w:p>
        </w:tc>
      </w:tr>
    </w:tbl>
    <w:p/>
    <w:p>
      <w:pPr>
        <w:pStyle w:val="Heading1"/>
      </w:pPr>
      <w:r>
        <w:t>5. Gathering for Study</w:t>
      </w:r>
    </w:p>
    <w:p>
      <w:pPr>
        <w:spacing w:after="40"/>
        <w:ind w:left="317" w:hanging="317"/>
      </w:pPr>
      <w:r>
        <w:t>1.  State the question rather than announcing the conclusion.</w:t>
      </w:r>
    </w:p>
    <w:p>
      <w:pPr>
        <w:spacing w:after="40"/>
        <w:ind w:left="317" w:hanging="317"/>
      </w:pPr>
      <w:r>
        <w:t>2.  Identify primary source(s), date, language/translation, provenance, and relevant historical context.</w:t>
      </w:r>
    </w:p>
    <w:p>
      <w:pPr>
        <w:spacing w:after="40"/>
        <w:ind w:left="317" w:hanging="317"/>
      </w:pPr>
      <w:r>
        <w:t>3.  Distinguish what the source says from later interpretations.</w:t>
      </w:r>
    </w:p>
    <w:p>
      <w:pPr>
        <w:spacing w:after="40"/>
        <w:ind w:left="317" w:hanging="317"/>
      </w:pPr>
      <w:r>
        <w:t>4.  Present at least one materially significant alternative interpretation when one exists.</w:t>
      </w:r>
    </w:p>
    <w:p>
      <w:pPr>
        <w:spacing w:after="40"/>
        <w:ind w:left="317" w:hanging="317"/>
      </w:pPr>
      <w:r>
        <w:t>5.  Discuss evidence, moral implications, and unresolved questions.</w:t>
      </w:r>
    </w:p>
    <w:p>
      <w:pPr>
        <w:spacing w:after="40"/>
        <w:ind w:left="317" w:hanging="317"/>
      </w:pPr>
      <w:r>
        <w:t>6.  Record what changed, what remains open, and what further research is needed.</w:t>
      </w:r>
    </w:p>
    <w:p>
      <w:pPr>
        <w:pStyle w:val="Heading1"/>
      </w:pPr>
      <w:r>
        <w:t>6. Gathering for Discernment</w:t>
      </w:r>
    </w:p>
    <w:p>
      <w:pPr>
        <w:spacing w:after="40"/>
        <w:ind w:left="317" w:hanging="317"/>
      </w:pPr>
      <w:r>
        <w:t>1.  Name the decision/question and who has actual authority to decide it.</w:t>
      </w:r>
    </w:p>
    <w:p>
      <w:pPr>
        <w:spacing w:after="40"/>
        <w:ind w:left="317" w:hanging="317"/>
      </w:pPr>
      <w:r>
        <w:t>2.  Disclose conflicts and whether any person must recuse.</w:t>
      </w:r>
    </w:p>
    <w:p>
      <w:pPr>
        <w:spacing w:after="40"/>
        <w:ind w:left="317" w:hanging="317"/>
      </w:pPr>
      <w:r>
        <w:t>3.  Present material facts, alternatives, risks, and affected rights.</w:t>
      </w:r>
    </w:p>
    <w:p>
      <w:pPr>
        <w:spacing w:after="40"/>
        <w:ind w:left="317" w:hanging="317"/>
      </w:pPr>
      <w:r>
        <w:t>4.  Provide silence/prayer/reflection without allowing silence to erase objections.</w:t>
      </w:r>
    </w:p>
    <w:p>
      <w:pPr>
        <w:spacing w:after="40"/>
        <w:ind w:left="317" w:hanging="317"/>
      </w:pPr>
      <w:r>
        <w:t>5.  Invite dissent and concerns explicitly.</w:t>
      </w:r>
    </w:p>
    <w:p>
      <w:pPr>
        <w:spacing w:after="40"/>
        <w:ind w:left="317" w:hanging="317"/>
      </w:pPr>
      <w:r>
        <w:t>6.  Record the decision, reasons, uncertainty, responsible owner, review date, and minority/dissenting view where material.</w:t>
      </w:r>
    </w:p>
    <w:p>
      <w:pPr>
        <w:pStyle w:val="Heading1"/>
      </w:pPr>
      <w:r>
        <w:t>7. Common Table - provisional shared meal</w:t>
      </w:r>
    </w:p>
    <w:p>
      <w:pPr>
        <w:spacing w:before="100" w:after="120"/>
        <w:ind w:left="173" w:right="173"/>
        <w:shd w:fill="FFF7ED"/>
      </w:pPr>
      <w:r>
        <w:rPr>
          <w:b/>
          <w:color w:val="1F2937"/>
          <w:sz w:val="19"/>
        </w:rPr>
        <w:t xml:space="preserve">  Status</w:t>
        <w:br/>
      </w:r>
      <w:r>
        <w:rPr>
          <w:color w:val="334155"/>
          <w:sz w:val="18"/>
        </w:rPr>
        <w:t xml:space="preserve">  Candidate practice, not yet a sacrament. The meal may express gratitude, hospitality, equality, remembrance, and companionship. Participation is never a test of doctrinal conformity.  </w:t>
      </w:r>
    </w:p>
    <w:p>
      <w:pPr>
        <w:pStyle w:val="ListBullet"/>
      </w:pPr>
      <w:r>
        <w:t>Welcome all lawful attendees appropriate to the setting; accommodate allergies, disability, poverty, and dietary conscience where reasonably possible.</w:t>
      </w:r>
    </w:p>
    <w:p>
      <w:pPr>
        <w:pStyle w:val="ListBullet"/>
      </w:pPr>
      <w:r>
        <w:t>Do not create prestige seating or a separate meal for leaders.</w:t>
      </w:r>
    </w:p>
    <w:p>
      <w:pPr>
        <w:pStyle w:val="ListBullet"/>
      </w:pPr>
      <w:r>
        <w:t>Suggested opening: gratitude for food, labor, land, those absent, and those who lack enough.</w:t>
      </w:r>
    </w:p>
    <w:p>
      <w:pPr>
        <w:pStyle w:val="ListBullet"/>
      </w:pPr>
      <w:r>
        <w:t>Suggested practice: one story of gratitude or service may be offered voluntarily.</w:t>
      </w:r>
    </w:p>
    <w:p>
      <w:pPr>
        <w:pStyle w:val="ListBullet"/>
      </w:pPr>
      <w:r>
        <w:t>Suggested closing: identify a concrete act of service or mutual care arising from the gathering.</w:t>
      </w:r>
    </w:p>
    <w:p>
      <w:pPr>
        <w:pStyle w:val="Heading1"/>
      </w:pPr>
      <w:r>
        <w:t>8. Welcome / blessing of a child</w:t>
      </w:r>
    </w:p>
    <w:p>
      <w:r>
        <w:t>Purpose: welcome a child into the care and affection of the community without pretending the child has chosen religious membership.</w:t>
      </w:r>
    </w:p>
    <w:p>
      <w:pPr>
        <w:spacing w:after="40"/>
        <w:ind w:left="317" w:hanging="317"/>
      </w:pPr>
      <w:r>
        <w:t>1.  Name the child and family/guardians according to their wishes.</w:t>
      </w:r>
    </w:p>
    <w:p>
      <w:pPr>
        <w:spacing w:after="40"/>
        <w:ind w:left="317" w:hanging="317"/>
      </w:pPr>
      <w:r>
        <w:t>2.  Offer gratitude for life and acknowledge the responsibilities of adults.</w:t>
      </w:r>
    </w:p>
    <w:p>
      <w:pPr>
        <w:spacing w:after="40"/>
        <w:ind w:left="317" w:hanging="317"/>
      </w:pPr>
      <w:r>
        <w:t>3.  The Assembly may promise: safety, truthfulness, patience with questions, age-appropriate formation, and respect for the child's growing conscience.</w:t>
      </w:r>
    </w:p>
    <w:p>
      <w:pPr>
        <w:spacing w:after="40"/>
        <w:ind w:left="317" w:hanging="317"/>
      </w:pPr>
      <w:r>
        <w:t>4.  Pray for health, wisdom, protection, joy, and the people responsible for care.</w:t>
      </w:r>
    </w:p>
    <w:p>
      <w:pPr>
        <w:spacing w:after="40"/>
        <w:ind w:left="317" w:hanging="317"/>
      </w:pPr>
      <w:r>
        <w:t>5.  Do not make irreversible vows on behalf of the child or require a later adult to maintain this identity.</w:t>
      </w:r>
    </w:p>
    <w:p>
      <w:pPr>
        <w:pStyle w:val="Heading1"/>
      </w:pPr>
      <w:r>
        <w:t>9. Companion Commitment gathering</w:t>
      </w:r>
    </w:p>
    <w:p>
      <w:pPr>
        <w:spacing w:after="40"/>
        <w:ind w:left="317" w:hanging="317"/>
      </w:pPr>
      <w:r>
        <w:t>1.  Confirm privately beforehand that the person acts freely and understands exit rights.</w:t>
      </w:r>
    </w:p>
    <w:p>
      <w:pPr>
        <w:spacing w:after="40"/>
        <w:ind w:left="317" w:hanging="317"/>
      </w:pPr>
      <w:r>
        <w:t>2.  Explain publicly that Companion identity is religious, not statutory corporate membership and not an irrevocable vow.</w:t>
      </w:r>
    </w:p>
    <w:p>
      <w:pPr>
        <w:spacing w:after="40"/>
        <w:ind w:left="317" w:hanging="317"/>
      </w:pPr>
      <w:r>
        <w:t>3.  Candidate may read or affirm the Companion Commitment in their own words.</w:t>
      </w:r>
    </w:p>
    <w:p>
      <w:pPr>
        <w:spacing w:after="40"/>
        <w:ind w:left="317" w:hanging="317"/>
      </w:pPr>
      <w:r>
        <w:t>4.  Assembly responds with a commitment of companionship, truthfulness, non-coercion, mutual care, and accountability.</w:t>
      </w:r>
    </w:p>
    <w:p>
      <w:pPr>
        <w:spacing w:after="40"/>
        <w:ind w:left="317" w:hanging="317"/>
      </w:pPr>
      <w:r>
        <w:t>5.  Optional Common Table / fellowship follows.</w:t>
      </w:r>
    </w:p>
    <w:p>
      <w:pPr>
        <w:pStyle w:val="Heading1"/>
      </w:pPr>
      <w:r>
        <w:t>10. Commissioning of a Minister/Teacher/Steward</w:t>
      </w:r>
    </w:p>
    <w:p>
      <w:pPr>
        <w:spacing w:after="40"/>
        <w:ind w:left="317" w:hanging="317"/>
      </w:pPr>
      <w:r>
        <w:t>1.  State the exact role, scope, term, supervisor, and limits of authority.</w:t>
      </w:r>
    </w:p>
    <w:p>
      <w:pPr>
        <w:spacing w:after="40"/>
        <w:ind w:left="317" w:hanging="317"/>
      </w:pPr>
      <w:r>
        <w:t>2.  State that commissioning confers service responsibility, not superior human worth or immunity.</w:t>
      </w:r>
    </w:p>
    <w:p>
      <w:pPr>
        <w:spacing w:after="40"/>
        <w:ind w:left="317" w:hanging="317"/>
      </w:pPr>
      <w:r>
        <w:t>3.  Candidate affirms ethics, safeguarding, truthfulness, conflicts, and complaint accountability.</w:t>
      </w:r>
    </w:p>
    <w:p>
      <w:pPr>
        <w:spacing w:after="40"/>
        <w:ind w:left="317" w:hanging="317"/>
      </w:pPr>
      <w:r>
        <w:t>4.  Assembly/authorized body offers prayer and charge for faithful service.</w:t>
      </w:r>
    </w:p>
    <w:p>
      <w:pPr>
        <w:spacing w:after="40"/>
        <w:ind w:left="317" w:hanging="317"/>
      </w:pPr>
      <w:r>
        <w:t>5.  Written commissioning instrument controls if ceremony language is ambiguous.</w:t>
      </w:r>
    </w:p>
    <w:p>
      <w:pPr>
        <w:pStyle w:val="Heading1"/>
      </w:pPr>
      <w:r>
        <w:t>11. Prayer for healing</w:t>
      </w:r>
    </w:p>
    <w:p>
      <w:pPr>
        <w:spacing w:before="100" w:after="120"/>
        <w:ind w:left="173" w:right="173"/>
        <w:shd w:fill="FEE2E2"/>
      </w:pPr>
      <w:r>
        <w:rPr>
          <w:b/>
          <w:color w:val="1F2937"/>
          <w:sz w:val="19"/>
        </w:rPr>
        <w:t xml:space="preserve">  Medical safeguard</w:t>
        <w:br/>
      </w:r>
      <w:r>
        <w:rPr>
          <w:color w:val="334155"/>
          <w:sz w:val="18"/>
        </w:rPr>
        <w:t xml:space="preserve">  Prayer for healing never substitutes for emergency services, medical evaluation, medication, therapy, or other qualified care. No person is blamed for illness because prayer did not produce a desired outcome.  </w:t>
      </w:r>
    </w:p>
    <w:p>
      <w:pPr>
        <w:pStyle w:val="ListBullet"/>
      </w:pPr>
      <w:r>
        <w:t>Ask what kind of prayer/support the person actually wants and what information may be shared.</w:t>
      </w:r>
    </w:p>
    <w:p>
      <w:pPr>
        <w:pStyle w:val="ListBullet"/>
      </w:pPr>
      <w:r>
        <w:t>Pray for healing, strength, wise clinicians, caregivers, courage, comfort, justice, or acceptance as appropriate.</w:t>
      </w:r>
    </w:p>
    <w:p>
      <w:pPr>
        <w:pStyle w:val="ListBullet"/>
      </w:pPr>
      <w:r>
        <w:t>Practical support - meals, transportation, childcare, finances, visitation - may be more important than words.</w:t>
      </w:r>
    </w:p>
    <w:p>
      <w:pPr>
        <w:pStyle w:val="Heading1"/>
      </w:pPr>
      <w:r>
        <w:t>12. Mourning, funeral, and memorial - provisional</w:t>
      </w:r>
    </w:p>
    <w:p>
      <w:pPr>
        <w:pStyle w:val="ListBullet"/>
      </w:pPr>
      <w:r>
        <w:t>Tell the truth about death and grief. Do not manufacture certainty about the deceased's metaphysical state.</w:t>
      </w:r>
    </w:p>
    <w:p>
      <w:pPr>
        <w:pStyle w:val="ListBullet"/>
      </w:pPr>
      <w:r>
        <w:t>Remember the person with gratitude and honesty rather than forced idealization.</w:t>
      </w:r>
    </w:p>
    <w:p>
      <w:pPr>
        <w:pStyle w:val="ListBullet"/>
      </w:pPr>
      <w:r>
        <w:t>Make space for lament, silence, anger, gratitude, prayer, music, readings, and memories as appropriate.</w:t>
      </w:r>
    </w:p>
    <w:p>
      <w:pPr>
        <w:pStyle w:val="ListBullet"/>
      </w:pPr>
      <w:r>
        <w:t>If afterlife language is used, identify whether it is a source-tradition text, personal hope, current teaching, or open question.</w:t>
      </w:r>
    </w:p>
    <w:p>
      <w:pPr>
        <w:pStyle w:val="ListBullet"/>
      </w:pPr>
      <w:r>
        <w:t>Support survivors after the event; grief is not a one-day rite.</w:t>
      </w:r>
    </w:p>
    <w:p>
      <w:pPr>
        <w:pStyle w:val="Heading1"/>
      </w:pPr>
      <w:r>
        <w:t>13. Repair and reconciliation</w:t>
      </w:r>
    </w:p>
    <w:p>
      <w:pPr>
        <w:pStyle w:val="ListBullet"/>
      </w:pPr>
      <w:r>
        <w:t>Safety, reporting duties, evidence preservation, and accountability come before reconciliation ceremony.</w:t>
      </w:r>
    </w:p>
    <w:p>
      <w:pPr>
        <w:pStyle w:val="ListBullet"/>
      </w:pPr>
      <w:r>
        <w:t>Forgiveness cannot be demanded as proof of spirituality.</w:t>
      </w:r>
    </w:p>
    <w:p>
      <w:pPr>
        <w:pStyle w:val="ListBullet"/>
      </w:pPr>
      <w:r>
        <w:t>A harmed person is never required to meet the person who harmed them.</w:t>
      </w:r>
    </w:p>
    <w:p>
      <w:pPr>
        <w:pStyle w:val="ListBullet"/>
      </w:pPr>
      <w:r>
        <w:t>A reconciliation ritual, if freely chosen, may acknowledge harm, truth, responsibility, restitution, changed boundaries, and future commitments.</w:t>
      </w:r>
    </w:p>
    <w:p>
      <w:pPr>
        <w:pStyle w:val="ListBullet"/>
      </w:pPr>
      <w:r>
        <w:t>Restoration of relationship is distinct from restoration to office or access.</w:t>
      </w:r>
    </w:p>
    <w:p>
      <w:pPr>
        <w:pStyle w:val="Heading1"/>
      </w:pPr>
      <w:r>
        <w:t>14. Adaptation rule</w:t>
      </w:r>
    </w:p>
    <w:p>
      <w:r>
        <w:t>A House may adapt these forms if it preserves the underlying safeguards, clearly labels local experimentation, and does not claim local innovations are universal revelation. Material changes should be documented and reviewed after use.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5"/>
      </w:rPr>
      <w:t>Prayer, Gatherings &amp; Rites Book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UNDECIDED | The Way v0.7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3341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7556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