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8"/>
        </w:rPr>
        <w:t>THE WAY</w:t>
      </w:r>
    </w:p>
    <w:p>
      <w:pPr>
        <w:pStyle w:val="Title"/>
        <w:jc w:val="center"/>
      </w:pPr>
      <w:r>
        <w:t>Community Architecture</w:t>
      </w:r>
    </w:p>
    <w:p>
      <w:pPr>
        <w:pStyle w:val="SubtitleSmall"/>
        <w:jc w:val="center"/>
      </w:pPr>
      <w:r>
        <w:t>Human Lifecycle, Companionship, the Assembly, Houses of Prayer, Gatherings, Ministry, Discernment &amp; Transmission</w:t>
      </w:r>
    </w:p>
    <w:p/>
    <w:p>
      <w:pPr>
        <w:jc w:val="center"/>
      </w:pPr>
      <w:r>
        <w:rPr>
          <w:color w:val="334155"/>
          <w:sz w:val="21"/>
        </w:rPr>
        <w:t>Version 0.6 | September 19, 2026</w:t>
        <w:br/>
        <w:t>Working language for UNDECIDED</w:t>
      </w:r>
    </w:p>
    <w:p/>
    <w:p>
      <w:pPr>
        <w:pStyle w:val="Callout"/>
        <w:jc w:val="center"/>
      </w:pPr>
      <w:r>
        <w:t>The institution exists to serve the Way; the Way does not exist to preserve the institution.</w:t>
      </w:r>
    </w:p>
    <w:p>
      <w:r>
        <w:br w:type="page"/>
      </w:r>
    </w:p>
    <w:p>
      <w:pPr>
        <w:pStyle w:val="Heading1"/>
      </w:pPr>
      <w:r>
        <w:t>Document purpose</w:t>
      </w:r>
    </w:p>
    <w:p>
      <w:r>
        <w:t>This document operationalizes the Native Religious Lexicon v0.5. It defines how a human being encounters the Way, participates, becomes a Companion, lives in the Assembly, belongs to a House of Prayer, serves through ministry, participates in discernment, and helps transmit the tradition without surrendering conscience or creating founder-centered authority.</w:t>
      </w:r>
    </w:p>
    <w:p>
      <w:r>
        <w:t>Status: working religious-operational architecture. It is intended for pilot use, board/community review, and later constitutional reconciliation. It does not replace civil-law governing documents, safeguarding law, employment law, or professional legal advice.</w:t>
      </w:r>
    </w:p>
    <w:p>
      <w:pPr>
        <w:pStyle w:val="Heading1"/>
      </w:pPr>
      <w:r>
        <w:t>Contents</w:t>
      </w:r>
    </w:p>
    <w:p>
      <w:pPr>
        <w:pStyle w:val="ListBullet"/>
      </w:pPr>
      <w:r>
        <w:t>1. The Whole: What the Way Is and Is Not</w:t>
      </w:r>
    </w:p>
    <w:p>
      <w:pPr>
        <w:pStyle w:val="ListBullet"/>
      </w:pPr>
      <w:r>
        <w:t>2. Human Lifecycle of the Way</w:t>
      </w:r>
    </w:p>
    <w:p>
      <w:pPr>
        <w:pStyle w:val="ListBullet"/>
      </w:pPr>
      <w:r>
        <w:t>3. The Companion Pathway and Companion Commitment</w:t>
      </w:r>
    </w:p>
    <w:p>
      <w:pPr>
        <w:pStyle w:val="ListBullet"/>
      </w:pPr>
      <w:r>
        <w:t>4. The Assembly: Religious Community Architecture</w:t>
      </w:r>
    </w:p>
    <w:p>
      <w:pPr>
        <w:pStyle w:val="ListBullet"/>
      </w:pPr>
      <w:r>
        <w:t>5. House of Prayer Operating Model</w:t>
      </w:r>
    </w:p>
    <w:p>
      <w:pPr>
        <w:pStyle w:val="ListBullet"/>
      </w:pPr>
      <w:r>
        <w:t>6. Gatherings and Religious Practice Framework</w:t>
      </w:r>
    </w:p>
    <w:p>
      <w:pPr>
        <w:pStyle w:val="ListBullet"/>
      </w:pPr>
      <w:r>
        <w:t>7. Rule of Life Framework</w:t>
      </w:r>
    </w:p>
    <w:p>
      <w:pPr>
        <w:pStyle w:val="ListBullet"/>
      </w:pPr>
      <w:r>
        <w:t>8. Ministry Roles, Commissioning, and Accountability</w:t>
      </w:r>
    </w:p>
    <w:p>
      <w:pPr>
        <w:pStyle w:val="ListBullet"/>
      </w:pPr>
      <w:r>
        <w:t>9. Epistemic Integrity: Encounter to Doctrine</w:t>
      </w:r>
    </w:p>
    <w:p>
      <w:pPr>
        <w:pStyle w:val="ListBullet"/>
      </w:pPr>
      <w:r>
        <w:t>10. Transmission, Succession, and the Founder-Exit Test</w:t>
      </w:r>
    </w:p>
    <w:p>
      <w:pPr>
        <w:pStyle w:val="ListBullet"/>
      </w:pPr>
      <w:r>
        <w:t>11. The Human Lifecycle in One View</w:t>
      </w:r>
    </w:p>
    <w:p>
      <w:pPr>
        <w:pStyle w:val="ListBullet"/>
      </w:pPr>
      <w:r>
        <w:t>12. v0.6 Implementation Sequence</w:t>
      </w:r>
    </w:p>
    <w:p>
      <w:r>
        <w:br w:type="page"/>
      </w:r>
    </w:p>
    <w:p>
      <w:pPr>
        <w:pStyle w:val="Heading1"/>
      </w:pPr>
      <w:r>
        <w:t>1. The Whole: What the Way Is and Is Not</w:t>
      </w:r>
    </w:p>
    <w:p>
      <w:r>
        <w:t>The Way is a living religious path concerned with humanity's relationship to ultimate reality, truth, and the manner in which human life ought to be lived in response to that reality. The Way is not identical with any corporation, board, building, leader, document, doctrine, or generation.</w:t>
      </w:r>
    </w:p>
    <w:p>
      <w:r>
        <w:t>The deepest ordering principle is that reality precedes the institution. The institution exists to help people seek, understand, practice, transmit, and safeguard the Way. The Way does not exist to preserve the institution.</w:t>
      </w:r>
    </w:p>
    <w:p>
      <w:r>
        <w:t>The governing distinction is therefore: truth is discovered and discerned; authority is entrusted and limited; participation is voluntary; conscience remains personal; and institutional power is always accountable.</w:t>
      </w:r>
    </w:p>
    <w:p>
      <w:pPr>
        <w:pStyle w:val="Heading2"/>
      </w:pPr>
      <w:r>
        <w:t>The ten-layer model</w:t>
      </w:r>
    </w:p>
    <w:p>
      <w:pPr>
        <w:ind w:left="259"/>
      </w:pPr>
      <w:r>
        <w:t>1. Ultimate Reality / God / the Transcendent - whatever is ultimately real exists independently of the movement and its descriptions.</w:t>
      </w:r>
    </w:p>
    <w:p>
      <w:pPr>
        <w:ind w:left="259"/>
      </w:pPr>
      <w:r>
        <w:t>2. Encounter and revelation - human beings report experiences interpreted as contact with or disclosure from transcendent reality.</w:t>
      </w:r>
    </w:p>
    <w:p>
      <w:pPr>
        <w:ind w:left="259"/>
      </w:pPr>
      <w:r>
        <w:t>3. Testimony and record - encounters become stories, sayings, texts, traditions, rituals, artifacts, memories, and historical records.</w:t>
      </w:r>
    </w:p>
    <w:p>
      <w:pPr>
        <w:ind w:left="259"/>
      </w:pPr>
      <w:r>
        <w:t>4. Discernment and knowledge - testimony is investigated through reason, scholarship, history, philosophy, science, lived experience, prayer, and communal discernment.</w:t>
      </w:r>
    </w:p>
    <w:p>
      <w:pPr>
        <w:ind w:left="259"/>
      </w:pPr>
      <w:r>
        <w:t>5. The Way - understanding becomes practice: prayer, ethics, contemplation, study, service, justice, charity, hospitality, fellowship, and other disciplines.</w:t>
      </w:r>
    </w:p>
    <w:p>
      <w:pPr>
        <w:ind w:left="259"/>
      </w:pPr>
      <w:r>
        <w:t>6. The Companion - an individual freely chooses to walk the Way with others without surrendering conscience.</w:t>
      </w:r>
    </w:p>
    <w:p>
      <w:pPr>
        <w:ind w:left="259"/>
      </w:pPr>
      <w:r>
        <w:t>7. The Assembly - Companions and welcome participants gather for prayer, study, service, fellowship, discernment, and mutual care.</w:t>
      </w:r>
    </w:p>
    <w:p>
      <w:pPr>
        <w:ind w:left="259"/>
      </w:pPr>
      <w:r>
        <w:t>8. The House of Prayer - the Assembly becomes local and stable in a particular place or network.</w:t>
      </w:r>
    </w:p>
    <w:p>
      <w:pPr>
        <w:ind w:left="259"/>
      </w:pPr>
      <w:r>
        <w:t>9. Ministry and governance - Teachers, Ministers, Stewards, Elders, councils, and the Board exercise defined, limited, reviewable functions.</w:t>
      </w:r>
    </w:p>
    <w:p>
      <w:pPr>
        <w:ind w:left="259"/>
      </w:pPr>
      <w:r>
        <w:t>10. Transmission - publications, education, ritual, archives, institutions, Houses of Prayer, and successive generations carry the Way forward.</w:t>
      </w:r>
    </w:p>
    <w:p>
      <w:pPr>
        <w:pStyle w:val="Heading2"/>
      </w:pPr>
      <w:r>
        <w:t>The cycle of the Way</w:t>
      </w:r>
    </w:p>
    <w:p>
      <w:pPr>
        <w:pStyle w:val="ListBullet"/>
      </w:pPr>
      <w:r>
        <w:t>Reality -&gt; Encounter -&gt; Testimony -&gt; Discernment -&gt; Understanding -&gt; The Way -&gt; Practice -&gt; Companion -&gt; Assembly -&gt; House of Prayer -&gt; Service and Transmission -&gt; New Encounter / New Generation -&gt; renewed discernment.</w:t>
      </w:r>
    </w:p>
    <w:p>
      <w:pPr>
        <w:pStyle w:val="ListBullet"/>
      </w:pPr>
      <w:r>
        <w:t>This is a cycle rather than a closed chain. New evidence can correct older interpretation; new generations can deepen or revise inherited teaching without treating correction as betrayal.</w:t>
      </w:r>
    </w:p>
    <w:p>
      <w:pPr>
        <w:pStyle w:val="Heading2"/>
      </w:pPr>
      <w:r>
        <w:t>What constitutes the beginning</w:t>
      </w:r>
    </w:p>
    <w:p>
      <w:pPr>
        <w:pStyle w:val="ListBullet"/>
      </w:pPr>
      <w:r>
        <w:t>The ultimate beginning is not the founding corporation. The movement begins from the claim that reality and truth precede us.</w:t>
      </w:r>
    </w:p>
    <w:p>
      <w:pPr>
        <w:pStyle w:val="ListBullet"/>
      </w:pPr>
      <w:r>
        <w:t>The historical beginning of this movement is the decision to examine humanity's inherited records of religious encounter, seek what is true in them, live according to what can responsibly be discerned, and remain open to correction and further truth.</w:t>
      </w:r>
    </w:p>
    <w:p>
      <w:pPr>
        <w:pStyle w:val="ListBullet"/>
      </w:pPr>
      <w:r>
        <w:t>The personal beginning is seeking: a person asks what is real, how one should live, and whether there is a Way worth walking with others.</w:t>
      </w:r>
    </w:p>
    <w:p>
      <w:pPr>
        <w:pStyle w:val="ListBullet"/>
      </w:pPr>
      <w:r>
        <w:t>The communal beginning occurs when people freely gather; a stable local gathering may become a House of Prayer. The legal beginning is only a civil formation event for a nonprofit corporation.</w:t>
      </w:r>
    </w:p>
    <w:p>
      <w:pPr>
        <w:pStyle w:val="Heading2"/>
      </w:pPr>
      <w:r>
        <w:t>What constitutes the end</w:t>
      </w:r>
    </w:p>
    <w:p>
      <w:pPr>
        <w:pStyle w:val="ListBullet"/>
      </w:pPr>
      <w:r>
        <w:t>The ultimate spiritual end remains an open theological question. The movement should not manufacture certainty about salvation, awakening, resurrection, liberation, judgment, union with God, or other final states before its theology supports such teaching.</w:t>
      </w:r>
    </w:p>
    <w:p>
      <w:pPr>
        <w:pStyle w:val="ListBullet"/>
      </w:pPr>
      <w:r>
        <w:t>The institutional end state is clearer: the Way can reproduce itself faithfully without dependence on the founder. A person can discover the Way, participate safely, become a Companion voluntarily, mature, serve, teach, help form another House of Prayer, and pass the tradition forward without requiring direct access to the founder.</w:t>
      </w:r>
    </w:p>
    <w:p>
      <w:pPr>
        <w:pStyle w:val="ListBullet"/>
      </w:pPr>
      <w:r>
        <w:t>A healthy end state also includes the protected exit path: a person can leave, criticize, retain ordinary relationships, property, work, family, dignity, and privacy, and experience no institutional retaliation.</w:t>
      </w:r>
    </w:p>
    <w:p>
      <w:pPr>
        <w:pStyle w:val="Heading1"/>
      </w:pPr>
      <w:r>
        <w:t>2. Human Lifecycle of the Way</w:t>
      </w:r>
    </w:p>
    <w:p>
      <w:r>
        <w:t>The lifecycle is not a rank ladder. It describes relationships and possible forms of participation. No person is required to progress beyond Companion, and no office makes a person spiritually superior.</w:t>
      </w:r>
    </w:p>
    <w:p>
      <w:pPr>
        <w:pStyle w:val="Heading2"/>
      </w:pPr>
      <w:r>
        <w:t>Lifecycle principles</w:t>
      </w:r>
    </w:p>
    <w:p>
      <w:pPr>
        <w:pStyle w:val="ListBullet"/>
      </w:pPr>
      <w:r>
        <w:t>Belonging and office are separate. Becoming a Companion never creates an obligation to become a Minister, Teacher, Steward, Elder, donor, employee, or resident.</w:t>
      </w:r>
    </w:p>
    <w:p>
      <w:pPr>
        <w:pStyle w:val="ListBullet"/>
      </w:pPr>
      <w:r>
        <w:t>Office is functional, not ontological. Commissioning gives defined authorization; it does not create a superior class of human being.</w:t>
      </w:r>
    </w:p>
    <w:p>
      <w:pPr>
        <w:pStyle w:val="ListBullet"/>
      </w:pPr>
      <w:r>
        <w:t>Maturity is shown by honesty, compassion, judgment, service, and teachability - not proximity to the founder, wealth, charisma, mystical claims, or organizational loyalty.</w:t>
      </w:r>
    </w:p>
    <w:p>
      <w:pPr>
        <w:pStyle w:val="ListBullet"/>
      </w:pPr>
      <w:r>
        <w:t>The path of development is learn -&gt; practice -&gt; discern -&gt; mature -&gt; serve -&gt; teach or mentor when appropriate -&gt; remain teachable.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334155"/>
            <w:vAlign w:val="center"/>
            <w:tcMar>
              <w:top w:w="80" w:type="dxa"/>
              <w:start w:w="80" w:type="dxa"/>
              <w:bottom w:w="80" w:type="dxa"/>
              <w:end w:w="80" w:type="dxa"/>
            </w:tcMar>
          </w:tcPr>
          <w:p>
            <w:r>
              <w:rPr>
                <w:b/>
                <w:color w:val="FFFFFF"/>
                <w:sz w:val="17"/>
              </w:rPr>
              <w:t>Stage</w:t>
            </w:r>
          </w:p>
        </w:tc>
        <w:tc>
          <w:tcPr>
            <w:tcW w:type="dxa" w:w="2045"/>
            <w:shd w:fill="334155"/>
            <w:vAlign w:val="center"/>
            <w:tcMar>
              <w:top w:w="80" w:type="dxa"/>
              <w:start w:w="80" w:type="dxa"/>
              <w:bottom w:w="80" w:type="dxa"/>
              <w:end w:w="80" w:type="dxa"/>
            </w:tcMar>
          </w:tcPr>
          <w:p>
            <w:r>
              <w:rPr>
                <w:b/>
                <w:color w:val="FFFFFF"/>
                <w:sz w:val="17"/>
              </w:rPr>
              <w:t>Meaning</w:t>
            </w:r>
          </w:p>
        </w:tc>
        <w:tc>
          <w:tcPr>
            <w:tcW w:type="dxa" w:w="2045"/>
            <w:shd w:fill="334155"/>
            <w:vAlign w:val="center"/>
            <w:tcMar>
              <w:top w:w="80" w:type="dxa"/>
              <w:start w:w="80" w:type="dxa"/>
              <w:bottom w:w="80" w:type="dxa"/>
              <w:end w:w="80" w:type="dxa"/>
            </w:tcMar>
          </w:tcPr>
          <w:p>
            <w:r>
              <w:rPr>
                <w:b/>
                <w:color w:val="FFFFFF"/>
                <w:sz w:val="17"/>
              </w:rPr>
              <w:t>Typical activities</w:t>
            </w:r>
          </w:p>
        </w:tc>
        <w:tc>
          <w:tcPr>
            <w:tcW w:type="dxa" w:w="2045"/>
            <w:shd w:fill="334155"/>
            <w:vAlign w:val="center"/>
            <w:tcMar>
              <w:top w:w="80" w:type="dxa"/>
              <w:start w:w="80" w:type="dxa"/>
              <w:bottom w:w="80" w:type="dxa"/>
              <w:end w:w="80" w:type="dxa"/>
            </w:tcMar>
          </w:tcPr>
          <w:p>
            <w:r>
              <w:rPr>
                <w:b/>
                <w:color w:val="FFFFFF"/>
                <w:sz w:val="17"/>
              </w:rPr>
              <w:t>Rights / safeguards</w:t>
            </w:r>
          </w:p>
        </w:tc>
        <w:tc>
          <w:tcPr>
            <w:tcW w:type="dxa" w:w="2045"/>
            <w:shd w:fill="334155"/>
            <w:vAlign w:val="center"/>
            <w:tcMar>
              <w:top w:w="80" w:type="dxa"/>
              <w:start w:w="80" w:type="dxa"/>
              <w:bottom w:w="80" w:type="dxa"/>
              <w:end w:w="80" w:type="dxa"/>
            </w:tcMar>
          </w:tcPr>
          <w:p>
            <w:r>
              <w:rPr>
                <w:b/>
                <w:color w:val="FFFFFF"/>
                <w:sz w:val="17"/>
              </w:rPr>
              <w:t>Possible next step</w:t>
            </w:r>
          </w:p>
        </w:tc>
      </w:tr>
      <w:tr>
        <w:trPr>
          <w:cantSplit/>
        </w:trPr>
        <w:tc>
          <w:tcPr>
            <w:tcW w:type="dxa" w:w="2045"/>
            <w:vAlign w:val="top"/>
            <w:tcMar>
              <w:top w:w="80" w:type="dxa"/>
              <w:start w:w="80" w:type="dxa"/>
              <w:bottom w:w="80" w:type="dxa"/>
              <w:end w:w="80" w:type="dxa"/>
            </w:tcMar>
          </w:tcPr>
          <w:p>
            <w:r>
              <w:rPr>
                <w:rFonts w:ascii="Liberation Sans" w:hAnsi="Liberation Sans"/>
                <w:sz w:val="16"/>
              </w:rPr>
              <w:t>Seeker</w:t>
            </w:r>
          </w:p>
        </w:tc>
        <w:tc>
          <w:tcPr>
            <w:tcW w:type="dxa" w:w="2045"/>
            <w:vAlign w:val="top"/>
            <w:tcMar>
              <w:top w:w="80" w:type="dxa"/>
              <w:start w:w="80" w:type="dxa"/>
              <w:bottom w:w="80" w:type="dxa"/>
              <w:end w:w="80" w:type="dxa"/>
            </w:tcMar>
          </w:tcPr>
          <w:p>
            <w:r>
              <w:rPr>
                <w:rFonts w:ascii="Liberation Sans" w:hAnsi="Liberation Sans"/>
                <w:sz w:val="16"/>
              </w:rPr>
              <w:t>A person exploring ultimate questions or the Way without belonging obligations.</w:t>
            </w:r>
          </w:p>
        </w:tc>
        <w:tc>
          <w:tcPr>
            <w:tcW w:type="dxa" w:w="2045"/>
            <w:vAlign w:val="top"/>
            <w:tcMar>
              <w:top w:w="80" w:type="dxa"/>
              <w:start w:w="80" w:type="dxa"/>
              <w:bottom w:w="80" w:type="dxa"/>
              <w:end w:w="80" w:type="dxa"/>
            </w:tcMar>
          </w:tcPr>
          <w:p>
            <w:r>
              <w:rPr>
                <w:rFonts w:ascii="Liberation Sans" w:hAnsi="Liberation Sans"/>
                <w:sz w:val="16"/>
              </w:rPr>
              <w:t>Public gatherings, reading, conversations, service, prayer if desired.</w:t>
            </w:r>
          </w:p>
        </w:tc>
        <w:tc>
          <w:tcPr>
            <w:tcW w:type="dxa" w:w="2045"/>
            <w:vAlign w:val="top"/>
            <w:tcMar>
              <w:top w:w="80" w:type="dxa"/>
              <w:start w:w="80" w:type="dxa"/>
              <w:bottom w:w="80" w:type="dxa"/>
              <w:end w:w="80" w:type="dxa"/>
            </w:tcMar>
          </w:tcPr>
          <w:p>
            <w:r>
              <w:rPr>
                <w:rFonts w:ascii="Liberation Sans" w:hAnsi="Liberation Sans"/>
                <w:sz w:val="16"/>
              </w:rPr>
              <w:t>No pressure to join; access to public information; freedom to question and consult outside sources.</w:t>
            </w:r>
          </w:p>
        </w:tc>
        <w:tc>
          <w:tcPr>
            <w:tcW w:type="dxa" w:w="2045"/>
            <w:vAlign w:val="top"/>
            <w:tcMar>
              <w:top w:w="80" w:type="dxa"/>
              <w:start w:w="80" w:type="dxa"/>
              <w:bottom w:w="80" w:type="dxa"/>
              <w:end w:w="80" w:type="dxa"/>
            </w:tcMar>
          </w:tcPr>
          <w:p>
            <w:r>
              <w:rPr>
                <w:rFonts w:ascii="Liberation Sans" w:hAnsi="Liberation Sans"/>
                <w:sz w:val="16"/>
              </w:rPr>
              <w:t>Participant or continued independent seeking.</w:t>
            </w:r>
          </w:p>
        </w:tc>
      </w:tr>
      <w:tr>
        <w:trPr>
          <w:cantSplit/>
        </w:trPr>
        <w:tc>
          <w:tcPr>
            <w:tcW w:type="dxa" w:w="2045"/>
            <w:vAlign w:val="top"/>
            <w:tcMar>
              <w:top w:w="80" w:type="dxa"/>
              <w:start w:w="80" w:type="dxa"/>
              <w:bottom w:w="80" w:type="dxa"/>
              <w:end w:w="80" w:type="dxa"/>
            </w:tcMar>
          </w:tcPr>
          <w:p>
            <w:r>
              <w:rPr>
                <w:rFonts w:ascii="Liberation Sans" w:hAnsi="Liberation Sans"/>
                <w:sz w:val="16"/>
              </w:rPr>
              <w:t>Participant / Guest</w:t>
            </w:r>
          </w:p>
        </w:tc>
        <w:tc>
          <w:tcPr>
            <w:tcW w:type="dxa" w:w="2045"/>
            <w:vAlign w:val="top"/>
            <w:tcMar>
              <w:top w:w="80" w:type="dxa"/>
              <w:start w:w="80" w:type="dxa"/>
              <w:bottom w:w="80" w:type="dxa"/>
              <w:end w:w="80" w:type="dxa"/>
            </w:tcMar>
          </w:tcPr>
          <w:p>
            <w:r>
              <w:rPr>
                <w:rFonts w:ascii="Liberation Sans" w:hAnsi="Liberation Sans"/>
                <w:sz w:val="16"/>
              </w:rPr>
              <w:t>A person who regularly joins gatherings without identifying as a Companion.</w:t>
            </w:r>
          </w:p>
        </w:tc>
        <w:tc>
          <w:tcPr>
            <w:tcW w:type="dxa" w:w="2045"/>
            <w:vAlign w:val="top"/>
            <w:tcMar>
              <w:top w:w="80" w:type="dxa"/>
              <w:start w:w="80" w:type="dxa"/>
              <w:bottom w:w="80" w:type="dxa"/>
              <w:end w:w="80" w:type="dxa"/>
            </w:tcMar>
          </w:tcPr>
          <w:p>
            <w:r>
              <w:rPr>
                <w:rFonts w:ascii="Liberation Sans" w:hAnsi="Liberation Sans"/>
                <w:sz w:val="16"/>
              </w:rPr>
              <w:t>Prayer, study, fellowship, service, open classes.</w:t>
            </w:r>
          </w:p>
        </w:tc>
        <w:tc>
          <w:tcPr>
            <w:tcW w:type="dxa" w:w="2045"/>
            <w:vAlign w:val="top"/>
            <w:tcMar>
              <w:top w:w="80" w:type="dxa"/>
              <w:start w:w="80" w:type="dxa"/>
              <w:bottom w:w="80" w:type="dxa"/>
              <w:end w:w="80" w:type="dxa"/>
            </w:tcMar>
          </w:tcPr>
          <w:p>
            <w:r>
              <w:rPr>
                <w:rFonts w:ascii="Liberation Sans" w:hAnsi="Liberation Sans"/>
                <w:sz w:val="16"/>
              </w:rPr>
              <w:t>No lesser human dignity; no pressure to disclose private information or donate.</w:t>
            </w:r>
          </w:p>
        </w:tc>
        <w:tc>
          <w:tcPr>
            <w:tcW w:type="dxa" w:w="2045"/>
            <w:vAlign w:val="top"/>
            <w:tcMar>
              <w:top w:w="80" w:type="dxa"/>
              <w:start w:w="80" w:type="dxa"/>
              <w:bottom w:w="80" w:type="dxa"/>
              <w:end w:w="80" w:type="dxa"/>
            </w:tcMar>
          </w:tcPr>
          <w:p>
            <w:r>
              <w:rPr>
                <w:rFonts w:ascii="Liberation Sans" w:hAnsi="Liberation Sans"/>
                <w:sz w:val="16"/>
              </w:rPr>
              <w:t>Companion, continued participation, or departure.</w:t>
            </w:r>
          </w:p>
        </w:tc>
      </w:tr>
      <w:tr>
        <w:trPr>
          <w:cantSplit/>
        </w:trPr>
        <w:tc>
          <w:tcPr>
            <w:tcW w:type="dxa" w:w="2045"/>
            <w:vAlign w:val="top"/>
            <w:tcMar>
              <w:top w:w="80" w:type="dxa"/>
              <w:start w:w="80" w:type="dxa"/>
              <w:bottom w:w="80" w:type="dxa"/>
              <w:end w:w="80" w:type="dxa"/>
            </w:tcMar>
          </w:tcPr>
          <w:p>
            <w:r>
              <w:rPr>
                <w:rFonts w:ascii="Liberation Sans" w:hAnsi="Liberation Sans"/>
                <w:sz w:val="16"/>
              </w:rPr>
              <w:t>Companion</w:t>
            </w:r>
          </w:p>
        </w:tc>
        <w:tc>
          <w:tcPr>
            <w:tcW w:type="dxa" w:w="2045"/>
            <w:vAlign w:val="top"/>
            <w:tcMar>
              <w:top w:w="80" w:type="dxa"/>
              <w:start w:w="80" w:type="dxa"/>
              <w:bottom w:w="80" w:type="dxa"/>
              <w:end w:w="80" w:type="dxa"/>
            </w:tcMar>
          </w:tcPr>
          <w:p>
            <w:r>
              <w:rPr>
                <w:rFonts w:ascii="Liberation Sans" w:hAnsi="Liberation Sans"/>
                <w:sz w:val="16"/>
              </w:rPr>
              <w:t>A person who freely undertakes to walk the Way with others.</w:t>
            </w:r>
          </w:p>
        </w:tc>
        <w:tc>
          <w:tcPr>
            <w:tcW w:type="dxa" w:w="2045"/>
            <w:vAlign w:val="top"/>
            <w:tcMar>
              <w:top w:w="80" w:type="dxa"/>
              <w:start w:w="80" w:type="dxa"/>
              <w:bottom w:w="80" w:type="dxa"/>
              <w:end w:w="80" w:type="dxa"/>
            </w:tcMar>
          </w:tcPr>
          <w:p>
            <w:r>
              <w:rPr>
                <w:rFonts w:ascii="Liberation Sans" w:hAnsi="Liberation Sans"/>
                <w:sz w:val="16"/>
              </w:rPr>
              <w:t>Rule of Life, Assembly participation, service, study, mutual care.</w:t>
            </w:r>
          </w:p>
        </w:tc>
        <w:tc>
          <w:tcPr>
            <w:tcW w:type="dxa" w:w="2045"/>
            <w:vAlign w:val="top"/>
            <w:tcMar>
              <w:top w:w="80" w:type="dxa"/>
              <w:start w:w="80" w:type="dxa"/>
              <w:bottom w:w="80" w:type="dxa"/>
              <w:end w:w="80" w:type="dxa"/>
            </w:tcMar>
          </w:tcPr>
          <w:p>
            <w:r>
              <w:rPr>
                <w:rFonts w:ascii="Liberation Sans" w:hAnsi="Liberation Sans"/>
                <w:sz w:val="16"/>
              </w:rPr>
              <w:t>Freedom of conscience, exit, criticism, outside relationships and advice, due process, non-retaliation.</w:t>
            </w:r>
          </w:p>
        </w:tc>
        <w:tc>
          <w:tcPr>
            <w:tcW w:type="dxa" w:w="2045"/>
            <w:vAlign w:val="top"/>
            <w:tcMar>
              <w:top w:w="80" w:type="dxa"/>
              <w:start w:w="80" w:type="dxa"/>
              <w:bottom w:w="80" w:type="dxa"/>
              <w:end w:w="80" w:type="dxa"/>
            </w:tcMar>
          </w:tcPr>
          <w:p>
            <w:r>
              <w:rPr>
                <w:rFonts w:ascii="Liberation Sans" w:hAnsi="Liberation Sans"/>
                <w:sz w:val="16"/>
              </w:rPr>
              <w:t>Maturity, service, or ministry if separately called and qualified.</w:t>
            </w:r>
          </w:p>
        </w:tc>
      </w:tr>
      <w:tr>
        <w:trPr>
          <w:cantSplit/>
        </w:trPr>
        <w:tc>
          <w:tcPr>
            <w:tcW w:type="dxa" w:w="2045"/>
            <w:vAlign w:val="top"/>
            <w:tcMar>
              <w:top w:w="80" w:type="dxa"/>
              <w:start w:w="80" w:type="dxa"/>
              <w:bottom w:w="80" w:type="dxa"/>
              <w:end w:w="80" w:type="dxa"/>
            </w:tcMar>
          </w:tcPr>
          <w:p>
            <w:r>
              <w:rPr>
                <w:rFonts w:ascii="Liberation Sans" w:hAnsi="Liberation Sans"/>
                <w:sz w:val="16"/>
              </w:rPr>
              <w:t>Maturing Companion</w:t>
            </w:r>
          </w:p>
        </w:tc>
        <w:tc>
          <w:tcPr>
            <w:tcW w:type="dxa" w:w="2045"/>
            <w:vAlign w:val="top"/>
            <w:tcMar>
              <w:top w:w="80" w:type="dxa"/>
              <w:start w:w="80" w:type="dxa"/>
              <w:bottom w:w="80" w:type="dxa"/>
              <w:end w:w="80" w:type="dxa"/>
            </w:tcMar>
          </w:tcPr>
          <w:p>
            <w:r>
              <w:rPr>
                <w:rFonts w:ascii="Liberation Sans" w:hAnsi="Liberation Sans"/>
                <w:sz w:val="16"/>
              </w:rPr>
              <w:t>A Companion with demonstrated stability, service, and understanding.</w:t>
            </w:r>
          </w:p>
        </w:tc>
        <w:tc>
          <w:tcPr>
            <w:tcW w:type="dxa" w:w="2045"/>
            <w:vAlign w:val="top"/>
            <w:tcMar>
              <w:top w:w="80" w:type="dxa"/>
              <w:start w:w="80" w:type="dxa"/>
              <w:bottom w:w="80" w:type="dxa"/>
              <w:end w:w="80" w:type="dxa"/>
            </w:tcMar>
          </w:tcPr>
          <w:p>
            <w:r>
              <w:rPr>
                <w:rFonts w:ascii="Liberation Sans" w:hAnsi="Liberation Sans"/>
                <w:sz w:val="16"/>
              </w:rPr>
              <w:t>Mentoring, deeper study, facilitating gatherings, service leadership.</w:t>
            </w:r>
          </w:p>
        </w:tc>
        <w:tc>
          <w:tcPr>
            <w:tcW w:type="dxa" w:w="2045"/>
            <w:vAlign w:val="top"/>
            <w:tcMar>
              <w:top w:w="80" w:type="dxa"/>
              <w:start w:w="80" w:type="dxa"/>
              <w:bottom w:w="80" w:type="dxa"/>
              <w:end w:w="80" w:type="dxa"/>
            </w:tcMar>
          </w:tcPr>
          <w:p>
            <w:r>
              <w:rPr>
                <w:rFonts w:ascii="Liberation Sans" w:hAnsi="Liberation Sans"/>
                <w:sz w:val="16"/>
              </w:rPr>
              <w:t>No automatic office; no secret teachings required; reviewable responsibilities.</w:t>
            </w:r>
          </w:p>
        </w:tc>
        <w:tc>
          <w:tcPr>
            <w:tcW w:type="dxa" w:w="2045"/>
            <w:vAlign w:val="top"/>
            <w:tcMar>
              <w:top w:w="80" w:type="dxa"/>
              <w:start w:w="80" w:type="dxa"/>
              <w:bottom w:w="80" w:type="dxa"/>
              <w:end w:w="80" w:type="dxa"/>
            </w:tcMar>
          </w:tcPr>
          <w:p>
            <w:r>
              <w:rPr>
                <w:rFonts w:ascii="Liberation Sans" w:hAnsi="Liberation Sans"/>
                <w:sz w:val="16"/>
              </w:rPr>
              <w:t>Teacher, Steward, Minister, Elder candidate, or simply continued companionship.</w:t>
            </w:r>
          </w:p>
        </w:tc>
      </w:tr>
      <w:tr>
        <w:trPr>
          <w:cantSplit/>
        </w:trPr>
        <w:tc>
          <w:tcPr>
            <w:tcW w:type="dxa" w:w="2045"/>
            <w:vAlign w:val="top"/>
            <w:tcMar>
              <w:top w:w="80" w:type="dxa"/>
              <w:start w:w="80" w:type="dxa"/>
              <w:bottom w:w="80" w:type="dxa"/>
              <w:end w:w="80" w:type="dxa"/>
            </w:tcMar>
          </w:tcPr>
          <w:p>
            <w:r>
              <w:rPr>
                <w:rFonts w:ascii="Liberation Sans" w:hAnsi="Liberation Sans"/>
                <w:sz w:val="16"/>
              </w:rPr>
              <w:t>Commissioned Servant</w:t>
            </w:r>
          </w:p>
        </w:tc>
        <w:tc>
          <w:tcPr>
            <w:tcW w:type="dxa" w:w="2045"/>
            <w:vAlign w:val="top"/>
            <w:tcMar>
              <w:top w:w="80" w:type="dxa"/>
              <w:start w:w="80" w:type="dxa"/>
              <w:bottom w:w="80" w:type="dxa"/>
              <w:end w:w="80" w:type="dxa"/>
            </w:tcMar>
          </w:tcPr>
          <w:p>
            <w:r>
              <w:rPr>
                <w:rFonts w:ascii="Liberation Sans" w:hAnsi="Liberation Sans"/>
                <w:sz w:val="16"/>
              </w:rPr>
              <w:t>A person entrusted with a defined ministry function.</w:t>
            </w:r>
          </w:p>
        </w:tc>
        <w:tc>
          <w:tcPr>
            <w:tcW w:type="dxa" w:w="2045"/>
            <w:vAlign w:val="top"/>
            <w:tcMar>
              <w:top w:w="80" w:type="dxa"/>
              <w:start w:w="80" w:type="dxa"/>
              <w:bottom w:w="80" w:type="dxa"/>
              <w:end w:w="80" w:type="dxa"/>
            </w:tcMar>
          </w:tcPr>
          <w:p>
            <w:r>
              <w:rPr>
                <w:rFonts w:ascii="Liberation Sans" w:hAnsi="Liberation Sans"/>
                <w:sz w:val="16"/>
              </w:rPr>
              <w:t>Teaching, pastoral care, administration, ritual/service leadership, safeguarding or stewardship.</w:t>
            </w:r>
          </w:p>
        </w:tc>
        <w:tc>
          <w:tcPr>
            <w:tcW w:type="dxa" w:w="2045"/>
            <w:vAlign w:val="top"/>
            <w:tcMar>
              <w:top w:w="80" w:type="dxa"/>
              <w:start w:w="80" w:type="dxa"/>
              <w:bottom w:w="80" w:type="dxa"/>
              <w:end w:w="80" w:type="dxa"/>
            </w:tcMar>
          </w:tcPr>
          <w:p>
            <w:r>
              <w:rPr>
                <w:rFonts w:ascii="Liberation Sans" w:hAnsi="Liberation Sans"/>
                <w:sz w:val="16"/>
              </w:rPr>
              <w:t>Written scope, supervision, review, complaint accountability, removal with due process.</w:t>
            </w:r>
          </w:p>
        </w:tc>
        <w:tc>
          <w:tcPr>
            <w:tcW w:type="dxa" w:w="2045"/>
            <w:vAlign w:val="top"/>
            <w:tcMar>
              <w:top w:w="80" w:type="dxa"/>
              <w:start w:w="80" w:type="dxa"/>
              <w:bottom w:w="80" w:type="dxa"/>
              <w:end w:w="80" w:type="dxa"/>
            </w:tcMar>
          </w:tcPr>
          <w:p>
            <w:r>
              <w:rPr>
                <w:rFonts w:ascii="Liberation Sans" w:hAnsi="Liberation Sans"/>
                <w:sz w:val="16"/>
              </w:rPr>
              <w:t>Renewal, change of ministry, return to ordinary Companion role.</w:t>
            </w:r>
          </w:p>
        </w:tc>
      </w:tr>
      <w:tr>
        <w:trPr>
          <w:cantSplit/>
        </w:trPr>
        <w:tc>
          <w:tcPr>
            <w:tcW w:type="dxa" w:w="2045"/>
            <w:vAlign w:val="top"/>
            <w:tcMar>
              <w:top w:w="80" w:type="dxa"/>
              <w:start w:w="80" w:type="dxa"/>
              <w:bottom w:w="80" w:type="dxa"/>
              <w:end w:w="80" w:type="dxa"/>
            </w:tcMar>
          </w:tcPr>
          <w:p>
            <w:r>
              <w:rPr>
                <w:rFonts w:ascii="Liberation Sans" w:hAnsi="Liberation Sans"/>
                <w:sz w:val="16"/>
              </w:rPr>
              <w:t>Elder / Mentor (if adopted)</w:t>
            </w:r>
          </w:p>
        </w:tc>
        <w:tc>
          <w:tcPr>
            <w:tcW w:type="dxa" w:w="2045"/>
            <w:vAlign w:val="top"/>
            <w:tcMar>
              <w:top w:w="80" w:type="dxa"/>
              <w:start w:w="80" w:type="dxa"/>
              <w:bottom w:w="80" w:type="dxa"/>
              <w:end w:w="80" w:type="dxa"/>
            </w:tcMar>
          </w:tcPr>
          <w:p>
            <w:r>
              <w:rPr>
                <w:rFonts w:ascii="Liberation Sans" w:hAnsi="Liberation Sans"/>
                <w:sz w:val="16"/>
              </w:rPr>
              <w:t>A mature Companion recognized for wisdom and service, not supremacy.</w:t>
            </w:r>
          </w:p>
        </w:tc>
        <w:tc>
          <w:tcPr>
            <w:tcW w:type="dxa" w:w="2045"/>
            <w:vAlign w:val="top"/>
            <w:tcMar>
              <w:top w:w="80" w:type="dxa"/>
              <w:start w:w="80" w:type="dxa"/>
              <w:bottom w:w="80" w:type="dxa"/>
              <w:end w:w="80" w:type="dxa"/>
            </w:tcMar>
          </w:tcPr>
          <w:p>
            <w:r>
              <w:rPr>
                <w:rFonts w:ascii="Liberation Sans" w:hAnsi="Liberation Sans"/>
                <w:sz w:val="16"/>
              </w:rPr>
              <w:t>Mentoring, counsel, memory, formation support.</w:t>
            </w:r>
          </w:p>
        </w:tc>
        <w:tc>
          <w:tcPr>
            <w:tcW w:type="dxa" w:w="2045"/>
            <w:vAlign w:val="top"/>
            <w:tcMar>
              <w:top w:w="80" w:type="dxa"/>
              <w:start w:w="80" w:type="dxa"/>
              <w:bottom w:w="80" w:type="dxa"/>
              <w:end w:w="80" w:type="dxa"/>
            </w:tcMar>
          </w:tcPr>
          <w:p>
            <w:r>
              <w:rPr>
                <w:rFonts w:ascii="Liberation Sans" w:hAnsi="Liberation Sans"/>
                <w:sz w:val="16"/>
              </w:rPr>
              <w:t>No inherent executive, financial, or revelatory control.</w:t>
            </w:r>
          </w:p>
        </w:tc>
        <w:tc>
          <w:tcPr>
            <w:tcW w:type="dxa" w:w="2045"/>
            <w:vAlign w:val="top"/>
            <w:tcMar>
              <w:top w:w="80" w:type="dxa"/>
              <w:start w:w="80" w:type="dxa"/>
              <w:bottom w:w="80" w:type="dxa"/>
              <w:end w:w="80" w:type="dxa"/>
            </w:tcMar>
          </w:tcPr>
          <w:p>
            <w:r>
              <w:rPr>
                <w:rFonts w:ascii="Liberation Sans" w:hAnsi="Liberation Sans"/>
                <w:sz w:val="16"/>
              </w:rPr>
              <w:t>Continued service, emeritus status, return to ordinary Companion role.</w:t>
            </w:r>
          </w:p>
        </w:tc>
      </w:tr>
      <w:tr>
        <w:trPr>
          <w:cantSplit/>
        </w:trPr>
        <w:tc>
          <w:tcPr>
            <w:tcW w:type="dxa" w:w="2045"/>
            <w:vAlign w:val="top"/>
            <w:tcMar>
              <w:top w:w="80" w:type="dxa"/>
              <w:start w:w="80" w:type="dxa"/>
              <w:bottom w:w="80" w:type="dxa"/>
              <w:end w:w="80" w:type="dxa"/>
            </w:tcMar>
          </w:tcPr>
          <w:p>
            <w:r>
              <w:rPr>
                <w:rFonts w:ascii="Liberation Sans" w:hAnsi="Liberation Sans"/>
                <w:sz w:val="16"/>
              </w:rPr>
              <w:t>Former Companion</w:t>
            </w:r>
          </w:p>
        </w:tc>
        <w:tc>
          <w:tcPr>
            <w:tcW w:type="dxa" w:w="2045"/>
            <w:vAlign w:val="top"/>
            <w:tcMar>
              <w:top w:w="80" w:type="dxa"/>
              <w:start w:w="80" w:type="dxa"/>
              <w:bottom w:w="80" w:type="dxa"/>
              <w:end w:w="80" w:type="dxa"/>
            </w:tcMar>
          </w:tcPr>
          <w:p>
            <w:r>
              <w:rPr>
                <w:rFonts w:ascii="Liberation Sans" w:hAnsi="Liberation Sans"/>
                <w:sz w:val="16"/>
              </w:rPr>
              <w:t>A person who no longer identifies as a Companion.</w:t>
            </w:r>
          </w:p>
        </w:tc>
        <w:tc>
          <w:tcPr>
            <w:tcW w:type="dxa" w:w="2045"/>
            <w:vAlign w:val="top"/>
            <w:tcMar>
              <w:top w:w="80" w:type="dxa"/>
              <w:start w:w="80" w:type="dxa"/>
              <w:bottom w:w="80" w:type="dxa"/>
              <w:end w:w="80" w:type="dxa"/>
            </w:tcMar>
          </w:tcPr>
          <w:p>
            <w:r>
              <w:rPr>
                <w:rFonts w:ascii="Liberation Sans" w:hAnsi="Liberation Sans"/>
                <w:sz w:val="16"/>
              </w:rPr>
              <w:t>May attend public events, maintain friendships, or have no further relationship.</w:t>
            </w:r>
          </w:p>
        </w:tc>
        <w:tc>
          <w:tcPr>
            <w:tcW w:type="dxa" w:w="2045"/>
            <w:vAlign w:val="top"/>
            <w:tcMar>
              <w:top w:w="80" w:type="dxa"/>
              <w:start w:w="80" w:type="dxa"/>
              <w:bottom w:w="80" w:type="dxa"/>
              <w:end w:w="80" w:type="dxa"/>
            </w:tcMar>
          </w:tcPr>
          <w:p>
            <w:r>
              <w:rPr>
                <w:rFonts w:ascii="Liberation Sans" w:hAnsi="Liberation Sans"/>
                <w:sz w:val="16"/>
              </w:rPr>
              <w:t>No shunning, retaliation, coercive exit process, loss of ordinary rights, or misuse of confidential information.</w:t>
            </w:r>
          </w:p>
        </w:tc>
        <w:tc>
          <w:tcPr>
            <w:tcW w:type="dxa" w:w="2045"/>
            <w:vAlign w:val="top"/>
            <w:tcMar>
              <w:top w:w="80" w:type="dxa"/>
              <w:start w:w="80" w:type="dxa"/>
              <w:bottom w:w="80" w:type="dxa"/>
              <w:end w:w="80" w:type="dxa"/>
            </w:tcMar>
          </w:tcPr>
          <w:p>
            <w:r>
              <w:rPr>
                <w:rFonts w:ascii="Liberation Sans" w:hAnsi="Liberation Sans"/>
                <w:sz w:val="16"/>
              </w:rPr>
              <w:t>None required. Re-entry remains possible if freely desired.</w:t>
            </w:r>
          </w:p>
        </w:tc>
      </w:tr>
    </w:tbl>
    <w:p/>
    <w:p>
      <w:pPr>
        <w:pStyle w:val="Heading1"/>
      </w:pPr>
      <w:r>
        <w:t>3. The Companion Pathway and Companion Commitment</w:t>
      </w:r>
    </w:p>
    <w:p>
      <w:r>
        <w:t>Companion is a religious identity and relationship, not statutory corporate membership. The Companion pathway is designed to be meaningful without becoming coercive, secretive, or irreversible.</w:t>
      </w:r>
    </w:p>
    <w:p>
      <w:pPr>
        <w:pStyle w:val="Heading2"/>
      </w:pPr>
      <w:r>
        <w:t>Becoming a Companion</w:t>
      </w:r>
    </w:p>
    <w:p>
      <w:pPr>
        <w:pStyle w:val="ListBullet"/>
      </w:pPr>
      <w:r>
        <w:t>A person should ordinarily have enough exposure to the Way to understand its core practices, rights, governance safeguards, and current teachings.</w:t>
      </w:r>
    </w:p>
    <w:p>
      <w:pPr>
        <w:pStyle w:val="ListBullet"/>
      </w:pPr>
      <w:r>
        <w:t>No minimum donation, property transfer, confession, severing of outside relationships, housing arrangement, employment relationship, or loyalty oath may be required.</w:t>
      </w:r>
    </w:p>
    <w:p>
      <w:pPr>
        <w:pStyle w:val="ListBullet"/>
      </w:pPr>
      <w:r>
        <w:t>A Companion Commitment may be made publicly, privately, or in writing. It is not a civil contract and should explicitly remain revocable.</w:t>
      </w:r>
    </w:p>
    <w:p>
      <w:pPr>
        <w:pStyle w:val="Heading2"/>
      </w:pPr>
      <w:r>
        <w:t>Working Companion Commitment</w:t>
      </w:r>
    </w:p>
    <w:p>
      <w:pPr>
        <w:pStyle w:val="ListBullet"/>
      </w:pPr>
      <w:r>
        <w:t>I choose freely to walk the Way in companionship with others.</w:t>
      </w:r>
    </w:p>
    <w:p>
      <w:pPr>
        <w:pStyle w:val="ListBullet"/>
      </w:pPr>
      <w:r>
        <w:t>I will seek truth with humility, practice prayer and study according to conscience, serve where I am able, and treat others with dignity.</w:t>
      </w:r>
    </w:p>
    <w:p>
      <w:pPr>
        <w:pStyle w:val="ListBullet"/>
      </w:pPr>
      <w:r>
        <w:t>I will distinguish testimony from interpretation, authority from truth, and spiritual conviction from coercive command.</w:t>
      </w:r>
    </w:p>
    <w:p>
      <w:pPr>
        <w:pStyle w:val="ListBullet"/>
      </w:pPr>
      <w:r>
        <w:t>I will not surrender my conscience to a leader, office, council, or institution, nor demand that another person surrender conscience to me.</w:t>
      </w:r>
    </w:p>
    <w:p>
      <w:pPr>
        <w:pStyle w:val="ListBullet"/>
      </w:pPr>
      <w:r>
        <w:t>I will respect the freedom of Companions and non-Companions alike to question, disagree, seek outside counsel, participate, or depart.</w:t>
      </w:r>
    </w:p>
    <w:p>
      <w:pPr>
        <w:pStyle w:val="ListBullet"/>
      </w:pPr>
      <w:r>
        <w:t>I will support safeguarding, financial integrity, honest inquiry, and accountability.</w:t>
      </w:r>
    </w:p>
    <w:p>
      <w:pPr>
        <w:pStyle w:val="ListBullet"/>
      </w:pPr>
      <w:r>
        <w:t>I understand that I may cease identifying as a Companion at any time without permission, penalty, shunning, or loss of ordinary human relationships.</w:t>
      </w:r>
    </w:p>
    <w:p>
      <w:pPr>
        <w:pStyle w:val="Heading2"/>
      </w:pPr>
      <w:r>
        <w:t>Exit and return</w:t>
      </w:r>
    </w:p>
    <w:p>
      <w:pPr>
        <w:pStyle w:val="ListBullet"/>
      </w:pPr>
      <w:r>
        <w:t>A clear statement that a person no longer identifies as a Companion is sufficient. No approval, debrief, payment, confession, doctrinal recantation, or spiritual release is required.</w:t>
      </w:r>
    </w:p>
    <w:p>
      <w:pPr>
        <w:pStyle w:val="ListBullet"/>
      </w:pPr>
      <w:r>
        <w:t>A former Companion may later return through an ordinary relational process. Return is not conditioned on withdrawing legitimate criticism or denying past experience.</w:t>
      </w:r>
    </w:p>
    <w:p>
      <w:pPr>
        <w:pStyle w:val="Heading1"/>
      </w:pPr>
      <w:r>
        <w:t>4. The Assembly: Religious Community Architecture</w:t>
      </w:r>
    </w:p>
    <w:p>
      <w:r>
        <w:t>The Assembly is the religious community created when Companions and welcome participants gather around the Way. It is broader than the corporation and distinct from the Board of Directors.</w:t>
      </w:r>
    </w:p>
    <w:p>
      <w:pPr>
        <w:pStyle w:val="Heading2"/>
      </w:pPr>
      <w:r>
        <w:t>Functions of the Assembly</w:t>
      </w:r>
    </w:p>
    <w:p>
      <w:pPr>
        <w:pStyle w:val="ListBullet"/>
      </w:pPr>
      <w:r>
        <w:t>Prayer and worship; study and inquiry; fellowship and mutual care; service and charitable action; discernment; teaching; formation; remembrance; rites or sacred practices as they develop; and transmission to future generations.</w:t>
      </w:r>
    </w:p>
    <w:p>
      <w:pPr>
        <w:pStyle w:val="Heading2"/>
      </w:pPr>
      <w:r>
        <w:t>Assembly and corporate governance</w:t>
      </w:r>
    </w:p>
    <w:p>
      <w:pPr>
        <w:pStyle w:val="ListBullet"/>
      </w:pPr>
      <w:r>
        <w:t>The Assembly may deliberate religious questions, express communal consensus, and form councils with defined religious responsibilities.</w:t>
      </w:r>
    </w:p>
    <w:p>
      <w:pPr>
        <w:pStyle w:val="ListBullet"/>
      </w:pPr>
      <w:r>
        <w:t>The nonprofit Board retains the civil fiduciary responsibilities assigned to it by law and governing documents. Spiritual language cannot transfer fiduciary authority implicitly.</w:t>
      </w:r>
    </w:p>
    <w:p>
      <w:pPr>
        <w:pStyle w:val="ListBullet"/>
      </w:pPr>
      <w:r>
        <w:t>The Assembly cannot suspend participant rights, safeguarding, financial controls, due process, or founder limitations by acclamation, prophecy, or informal consensus.</w:t>
      </w:r>
    </w:p>
    <w:p>
      <w:pPr>
        <w:pStyle w:val="Heading2"/>
      </w:pPr>
      <w:r>
        <w:t>Possible future councils</w:t>
      </w:r>
    </w:p>
    <w:p>
      <w:pPr>
        <w:pStyle w:val="ListBullet"/>
      </w:pPr>
      <w:r>
        <w:t>Council of the Assembly - a deliberative body for doctrine, practice, formation, and communal discernment once the community is large enough to justify it.</w:t>
      </w:r>
    </w:p>
    <w:p>
      <w:pPr>
        <w:pStyle w:val="ListBullet"/>
      </w:pPr>
      <w:r>
        <w:t>Council of Houses - a representative forum linking multiple Houses of Prayer without creating unnecessary central hierarchy.</w:t>
      </w:r>
    </w:p>
    <w:p>
      <w:pPr>
        <w:pStyle w:val="ListBullet"/>
      </w:pPr>
      <w:r>
        <w:t>Regional Assembly - a geographic coordination layer only when multiple Houses in a region require shared infrastructure.</w:t>
      </w:r>
    </w:p>
    <w:p>
      <w:pPr>
        <w:pStyle w:val="Heading1"/>
      </w:pPr>
      <w:r>
        <w:t>5. House of Prayer Operating Model</w:t>
      </w:r>
    </w:p>
    <w:p>
      <w:r>
        <w:t>A House of Prayer is a stable local expression of the Assembly. It is a community before it is a building. A House may gather in a home, rented room, public facility, dedicated property, or online/hybrid environment where appropriate.</w:t>
      </w:r>
    </w:p>
    <w:p>
      <w:pPr>
        <w:pStyle w:val="Heading2"/>
      </w:pPr>
      <w:r>
        <w:t>Recognition stages</w:t>
      </w:r>
    </w:p>
    <w:p>
      <w:pPr>
        <w:ind w:left="259"/>
      </w:pPr>
      <w:r>
        <w:t>1. Gathering Circle - a recurring group exploring the Way; no claim to be an official House.</w:t>
      </w:r>
    </w:p>
    <w:p>
      <w:pPr>
        <w:ind w:left="259"/>
      </w:pPr>
      <w:r>
        <w:t>2. House-in-Formation - meets stated minimum practices, completes safeguarding and governance training, and has an accountable local Steward.</w:t>
      </w:r>
    </w:p>
    <w:p>
      <w:pPr>
        <w:ind w:left="259"/>
      </w:pPr>
      <w:r>
        <w:t>3. Recognized House of Prayer - formally recognized through a written instrument defining scope, responsibilities, financial arrangements, complaint routes, and review date.</w:t>
      </w:r>
    </w:p>
    <w:p>
      <w:pPr>
        <w:ind w:left="259"/>
      </w:pPr>
      <w:r>
        <w:t>4. Mature House - demonstrates stable practice, local formation, healthy leadership rotation, transparent finances, service, and ability to reproduce without dependence on one charismatic person.</w:t>
      </w:r>
    </w:p>
    <w:p>
      <w:pPr>
        <w:ind w:left="259"/>
      </w:pPr>
      <w:r>
        <w:t>5. Dormant / Closed House - recognition may end without shame when the community no longer functions. Property and records follow written legal arrangements; people remain free.</w:t>
      </w:r>
    </w:p>
    <w:p>
      <w:pPr>
        <w:pStyle w:val="Heading2"/>
      </w:pPr>
      <w:r>
        <w:t>Local leadership</w:t>
      </w:r>
    </w:p>
    <w:p>
      <w:pPr>
        <w:pStyle w:val="ListBullet"/>
      </w:pPr>
      <w:r>
        <w:t>House Steward - coordinates logistics, scheduling, records, budget interfaces, and facility matters.</w:t>
      </w:r>
    </w:p>
    <w:p>
      <w:pPr>
        <w:pStyle w:val="ListBullet"/>
      </w:pPr>
      <w:r>
        <w:t>Teacher - teaches within a defined area of competence and is subject to review and correction.</w:t>
      </w:r>
    </w:p>
    <w:p>
      <w:pPr>
        <w:pStyle w:val="ListBullet"/>
      </w:pPr>
      <w:r>
        <w:t>Minister - provides defined religious or pastoral functions when commissioned.</w:t>
      </w:r>
    </w:p>
    <w:p>
      <w:pPr>
        <w:pStyle w:val="ListBullet"/>
      </w:pPr>
      <w:r>
        <w:t>Safeguarding Contact - maintains reporting information and independent escalation access; should not be the sole local executive if avoidable.</w:t>
      </w:r>
    </w:p>
    <w:p>
      <w:pPr>
        <w:pStyle w:val="ListBullet"/>
      </w:pPr>
      <w:r>
        <w:t>No local role may independently create debt, employ staff, open accounts, sign property agreements, issue credentials, or represent itself as a separate legal entity without written corporate authority.</w:t>
      </w:r>
    </w:p>
    <w:p>
      <w:pPr>
        <w:pStyle w:val="Heading2"/>
      </w:pPr>
      <w:r>
        <w:t>House review</w:t>
      </w:r>
    </w:p>
    <w:p>
      <w:pPr>
        <w:pStyle w:val="ListBullet"/>
      </w:pPr>
      <w:r>
        <w:t>Each recognized House should complete at least an annual health review covering participation, safeguarding, finances, leadership concentration, complaint accessibility, teaching integrity, service, departures, and whether people can disagree or leave safely.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334155"/>
            <w:vAlign w:val="center"/>
            <w:tcMar>
              <w:top w:w="80" w:type="dxa"/>
              <w:start w:w="80" w:type="dxa"/>
              <w:bottom w:w="80" w:type="dxa"/>
              <w:end w:w="80" w:type="dxa"/>
            </w:tcMar>
          </w:tcPr>
          <w:p>
            <w:r>
              <w:rPr>
                <w:b/>
                <w:color w:val="FFFFFF"/>
                <w:sz w:val="17"/>
              </w:rPr>
              <w:t>Minimum function</w:t>
            </w:r>
          </w:p>
        </w:tc>
        <w:tc>
          <w:tcPr>
            <w:tcW w:type="dxa" w:w="3408"/>
            <w:shd w:fill="334155"/>
            <w:vAlign w:val="center"/>
            <w:tcMar>
              <w:top w:w="80" w:type="dxa"/>
              <w:start w:w="80" w:type="dxa"/>
              <w:bottom w:w="80" w:type="dxa"/>
              <w:end w:w="80" w:type="dxa"/>
            </w:tcMar>
          </w:tcPr>
          <w:p>
            <w:r>
              <w:rPr>
                <w:b/>
                <w:color w:val="FFFFFF"/>
                <w:sz w:val="17"/>
              </w:rPr>
              <w:t>Required at recognition</w:t>
            </w:r>
          </w:p>
        </w:tc>
        <w:tc>
          <w:tcPr>
            <w:tcW w:type="dxa" w:w="3408"/>
            <w:shd w:fill="334155"/>
            <w:vAlign w:val="center"/>
            <w:tcMar>
              <w:top w:w="80" w:type="dxa"/>
              <w:start w:w="80" w:type="dxa"/>
              <w:bottom w:w="80" w:type="dxa"/>
              <w:end w:w="80" w:type="dxa"/>
            </w:tcMar>
          </w:tcPr>
          <w:p>
            <w:r>
              <w:rPr>
                <w:b/>
                <w:color w:val="FFFFFF"/>
                <w:sz w:val="17"/>
              </w:rPr>
              <w:t>Purpose</w:t>
            </w:r>
          </w:p>
        </w:tc>
      </w:tr>
      <w:tr>
        <w:trPr>
          <w:cantSplit/>
        </w:trPr>
        <w:tc>
          <w:tcPr>
            <w:tcW w:type="dxa" w:w="3408"/>
            <w:vAlign w:val="top"/>
            <w:tcMar>
              <w:top w:w="80" w:type="dxa"/>
              <w:start w:w="80" w:type="dxa"/>
              <w:bottom w:w="80" w:type="dxa"/>
              <w:end w:w="80" w:type="dxa"/>
            </w:tcMar>
          </w:tcPr>
          <w:p>
            <w:r>
              <w:rPr>
                <w:rFonts w:ascii="Liberation Sans" w:hAnsi="Liberation Sans"/>
                <w:sz w:val="16"/>
              </w:rPr>
              <w:t>Regular gathering</w:t>
            </w:r>
          </w:p>
        </w:tc>
        <w:tc>
          <w:tcPr>
            <w:tcW w:type="dxa" w:w="3408"/>
            <w:vAlign w:val="top"/>
            <w:tcMar>
              <w:top w:w="80" w:type="dxa"/>
              <w:start w:w="80" w:type="dxa"/>
              <w:bottom w:w="80" w:type="dxa"/>
              <w:end w:w="80" w:type="dxa"/>
            </w:tcMar>
          </w:tcPr>
          <w:p>
            <w:r>
              <w:rPr>
                <w:rFonts w:ascii="Liberation Sans" w:hAnsi="Liberation Sans"/>
                <w:sz w:val="16"/>
              </w:rPr>
              <w:t>Yes</w:t>
            </w:r>
          </w:p>
        </w:tc>
        <w:tc>
          <w:tcPr>
            <w:tcW w:type="dxa" w:w="3408"/>
            <w:vAlign w:val="top"/>
            <w:tcMar>
              <w:top w:w="80" w:type="dxa"/>
              <w:start w:w="80" w:type="dxa"/>
              <w:bottom w:w="80" w:type="dxa"/>
              <w:end w:w="80" w:type="dxa"/>
            </w:tcMar>
          </w:tcPr>
          <w:p>
            <w:r>
              <w:rPr>
                <w:rFonts w:ascii="Liberation Sans" w:hAnsi="Liberation Sans"/>
                <w:sz w:val="16"/>
              </w:rPr>
              <w:t>Creates an actual community rather than a nominal chapter.</w:t>
            </w:r>
          </w:p>
        </w:tc>
      </w:tr>
      <w:tr>
        <w:trPr>
          <w:cantSplit/>
        </w:trPr>
        <w:tc>
          <w:tcPr>
            <w:tcW w:type="dxa" w:w="3408"/>
            <w:vAlign w:val="top"/>
            <w:tcMar>
              <w:top w:w="80" w:type="dxa"/>
              <w:start w:w="80" w:type="dxa"/>
              <w:bottom w:w="80" w:type="dxa"/>
              <w:end w:w="80" w:type="dxa"/>
            </w:tcMar>
          </w:tcPr>
          <w:p>
            <w:r>
              <w:rPr>
                <w:rFonts w:ascii="Liberation Sans" w:hAnsi="Liberation Sans"/>
                <w:sz w:val="16"/>
              </w:rPr>
              <w:t>Prayer / worship</w:t>
            </w:r>
          </w:p>
        </w:tc>
        <w:tc>
          <w:tcPr>
            <w:tcW w:type="dxa" w:w="3408"/>
            <w:vAlign w:val="top"/>
            <w:tcMar>
              <w:top w:w="80" w:type="dxa"/>
              <w:start w:w="80" w:type="dxa"/>
              <w:bottom w:w="80" w:type="dxa"/>
              <w:end w:w="80" w:type="dxa"/>
            </w:tcMar>
          </w:tcPr>
          <w:p>
            <w:r>
              <w:rPr>
                <w:rFonts w:ascii="Liberation Sans" w:hAnsi="Liberation Sans"/>
                <w:sz w:val="16"/>
              </w:rPr>
              <w:t>Yes</w:t>
            </w:r>
          </w:p>
        </w:tc>
        <w:tc>
          <w:tcPr>
            <w:tcW w:type="dxa" w:w="3408"/>
            <w:vAlign w:val="top"/>
            <w:tcMar>
              <w:top w:w="80" w:type="dxa"/>
              <w:start w:w="80" w:type="dxa"/>
              <w:bottom w:w="80" w:type="dxa"/>
              <w:end w:w="80" w:type="dxa"/>
            </w:tcMar>
          </w:tcPr>
          <w:p>
            <w:r>
              <w:rPr>
                <w:rFonts w:ascii="Liberation Sans" w:hAnsi="Liberation Sans"/>
                <w:sz w:val="16"/>
              </w:rPr>
              <w:t>Maintains the devotional center of the House.</w:t>
            </w:r>
          </w:p>
        </w:tc>
      </w:tr>
      <w:tr>
        <w:trPr>
          <w:cantSplit/>
        </w:trPr>
        <w:tc>
          <w:tcPr>
            <w:tcW w:type="dxa" w:w="3408"/>
            <w:vAlign w:val="top"/>
            <w:tcMar>
              <w:top w:w="80" w:type="dxa"/>
              <w:start w:w="80" w:type="dxa"/>
              <w:bottom w:w="80" w:type="dxa"/>
              <w:end w:w="80" w:type="dxa"/>
            </w:tcMar>
          </w:tcPr>
          <w:p>
            <w:r>
              <w:rPr>
                <w:rFonts w:ascii="Liberation Sans" w:hAnsi="Liberation Sans"/>
                <w:sz w:val="16"/>
              </w:rPr>
              <w:t>Study / inquiry</w:t>
            </w:r>
          </w:p>
        </w:tc>
        <w:tc>
          <w:tcPr>
            <w:tcW w:type="dxa" w:w="3408"/>
            <w:vAlign w:val="top"/>
            <w:tcMar>
              <w:top w:w="80" w:type="dxa"/>
              <w:start w:w="80" w:type="dxa"/>
              <w:bottom w:w="80" w:type="dxa"/>
              <w:end w:w="80" w:type="dxa"/>
            </w:tcMar>
          </w:tcPr>
          <w:p>
            <w:r>
              <w:rPr>
                <w:rFonts w:ascii="Liberation Sans" w:hAnsi="Liberation Sans"/>
                <w:sz w:val="16"/>
              </w:rPr>
              <w:t>Yes</w:t>
            </w:r>
          </w:p>
        </w:tc>
        <w:tc>
          <w:tcPr>
            <w:tcW w:type="dxa" w:w="3408"/>
            <w:vAlign w:val="top"/>
            <w:tcMar>
              <w:top w:w="80" w:type="dxa"/>
              <w:start w:w="80" w:type="dxa"/>
              <w:bottom w:w="80" w:type="dxa"/>
              <w:end w:w="80" w:type="dxa"/>
            </w:tcMar>
          </w:tcPr>
          <w:p>
            <w:r>
              <w:rPr>
                <w:rFonts w:ascii="Liberation Sans" w:hAnsi="Liberation Sans"/>
                <w:sz w:val="16"/>
              </w:rPr>
              <w:t>Keeps teaching connected to evidence, sources, and ongoing learning.</w:t>
            </w:r>
          </w:p>
        </w:tc>
      </w:tr>
      <w:tr>
        <w:trPr>
          <w:cantSplit/>
        </w:trPr>
        <w:tc>
          <w:tcPr>
            <w:tcW w:type="dxa" w:w="3408"/>
            <w:vAlign w:val="top"/>
            <w:tcMar>
              <w:top w:w="80" w:type="dxa"/>
              <w:start w:w="80" w:type="dxa"/>
              <w:bottom w:w="80" w:type="dxa"/>
              <w:end w:w="80" w:type="dxa"/>
            </w:tcMar>
          </w:tcPr>
          <w:p>
            <w:r>
              <w:rPr>
                <w:rFonts w:ascii="Liberation Sans" w:hAnsi="Liberation Sans"/>
                <w:sz w:val="16"/>
              </w:rPr>
              <w:t>Service / mutual care</w:t>
            </w:r>
          </w:p>
        </w:tc>
        <w:tc>
          <w:tcPr>
            <w:tcW w:type="dxa" w:w="3408"/>
            <w:vAlign w:val="top"/>
            <w:tcMar>
              <w:top w:w="80" w:type="dxa"/>
              <w:start w:w="80" w:type="dxa"/>
              <w:bottom w:w="80" w:type="dxa"/>
              <w:end w:w="80" w:type="dxa"/>
            </w:tcMar>
          </w:tcPr>
          <w:p>
            <w:r>
              <w:rPr>
                <w:rFonts w:ascii="Liberation Sans" w:hAnsi="Liberation Sans"/>
                <w:sz w:val="16"/>
              </w:rPr>
              <w:t>Yes</w:t>
            </w:r>
          </w:p>
        </w:tc>
        <w:tc>
          <w:tcPr>
            <w:tcW w:type="dxa" w:w="3408"/>
            <w:vAlign w:val="top"/>
            <w:tcMar>
              <w:top w:w="80" w:type="dxa"/>
              <w:start w:w="80" w:type="dxa"/>
              <w:bottom w:w="80" w:type="dxa"/>
              <w:end w:w="80" w:type="dxa"/>
            </w:tcMar>
          </w:tcPr>
          <w:p>
            <w:r>
              <w:rPr>
                <w:rFonts w:ascii="Liberation Sans" w:hAnsi="Liberation Sans"/>
                <w:sz w:val="16"/>
              </w:rPr>
              <w:t>Turns the Way outward into practical care.</w:t>
            </w:r>
          </w:p>
        </w:tc>
      </w:tr>
      <w:tr>
        <w:trPr>
          <w:cantSplit/>
        </w:trPr>
        <w:tc>
          <w:tcPr>
            <w:tcW w:type="dxa" w:w="3408"/>
            <w:vAlign w:val="top"/>
            <w:tcMar>
              <w:top w:w="80" w:type="dxa"/>
              <w:start w:w="80" w:type="dxa"/>
              <w:bottom w:w="80" w:type="dxa"/>
              <w:end w:w="80" w:type="dxa"/>
            </w:tcMar>
          </w:tcPr>
          <w:p>
            <w:r>
              <w:rPr>
                <w:rFonts w:ascii="Liberation Sans" w:hAnsi="Liberation Sans"/>
                <w:sz w:val="16"/>
              </w:rPr>
              <w:t>Safeguarding contact and escalation path</w:t>
            </w:r>
          </w:p>
        </w:tc>
        <w:tc>
          <w:tcPr>
            <w:tcW w:type="dxa" w:w="3408"/>
            <w:vAlign w:val="top"/>
            <w:tcMar>
              <w:top w:w="80" w:type="dxa"/>
              <w:start w:w="80" w:type="dxa"/>
              <w:bottom w:w="80" w:type="dxa"/>
              <w:end w:w="80" w:type="dxa"/>
            </w:tcMar>
          </w:tcPr>
          <w:p>
            <w:r>
              <w:rPr>
                <w:rFonts w:ascii="Liberation Sans" w:hAnsi="Liberation Sans"/>
                <w:sz w:val="16"/>
              </w:rPr>
              <w:t>Yes</w:t>
            </w:r>
          </w:p>
        </w:tc>
        <w:tc>
          <w:tcPr>
            <w:tcW w:type="dxa" w:w="3408"/>
            <w:vAlign w:val="top"/>
            <w:tcMar>
              <w:top w:w="80" w:type="dxa"/>
              <w:start w:w="80" w:type="dxa"/>
              <w:bottom w:w="80" w:type="dxa"/>
              <w:end w:w="80" w:type="dxa"/>
            </w:tcMar>
          </w:tcPr>
          <w:p>
            <w:r>
              <w:rPr>
                <w:rFonts w:ascii="Liberation Sans" w:hAnsi="Liberation Sans"/>
                <w:sz w:val="16"/>
              </w:rPr>
              <w:t>Ensures protection does not depend on the local leader.</w:t>
            </w:r>
          </w:p>
        </w:tc>
      </w:tr>
      <w:tr>
        <w:trPr>
          <w:cantSplit/>
        </w:trPr>
        <w:tc>
          <w:tcPr>
            <w:tcW w:type="dxa" w:w="3408"/>
            <w:vAlign w:val="top"/>
            <w:tcMar>
              <w:top w:w="80" w:type="dxa"/>
              <w:start w:w="80" w:type="dxa"/>
              <w:bottom w:w="80" w:type="dxa"/>
              <w:end w:w="80" w:type="dxa"/>
            </w:tcMar>
          </w:tcPr>
          <w:p>
            <w:r>
              <w:rPr>
                <w:rFonts w:ascii="Liberation Sans" w:hAnsi="Liberation Sans"/>
                <w:sz w:val="16"/>
              </w:rPr>
              <w:t>Local Steward</w:t>
            </w:r>
          </w:p>
        </w:tc>
        <w:tc>
          <w:tcPr>
            <w:tcW w:type="dxa" w:w="3408"/>
            <w:vAlign w:val="top"/>
            <w:tcMar>
              <w:top w:w="80" w:type="dxa"/>
              <w:start w:w="80" w:type="dxa"/>
              <w:bottom w:w="80" w:type="dxa"/>
              <w:end w:w="80" w:type="dxa"/>
            </w:tcMar>
          </w:tcPr>
          <w:p>
            <w:r>
              <w:rPr>
                <w:rFonts w:ascii="Liberation Sans" w:hAnsi="Liberation Sans"/>
                <w:sz w:val="16"/>
              </w:rPr>
              <w:t>Yes</w:t>
            </w:r>
          </w:p>
        </w:tc>
        <w:tc>
          <w:tcPr>
            <w:tcW w:type="dxa" w:w="3408"/>
            <w:vAlign w:val="top"/>
            <w:tcMar>
              <w:top w:w="80" w:type="dxa"/>
              <w:start w:w="80" w:type="dxa"/>
              <w:bottom w:w="80" w:type="dxa"/>
              <w:end w:w="80" w:type="dxa"/>
            </w:tcMar>
          </w:tcPr>
          <w:p>
            <w:r>
              <w:rPr>
                <w:rFonts w:ascii="Liberation Sans" w:hAnsi="Liberation Sans"/>
                <w:sz w:val="16"/>
              </w:rPr>
              <w:t>Coordinates operations without becoming local sovereign.</w:t>
            </w:r>
          </w:p>
        </w:tc>
      </w:tr>
      <w:tr>
        <w:trPr>
          <w:cantSplit/>
        </w:trPr>
        <w:tc>
          <w:tcPr>
            <w:tcW w:type="dxa" w:w="3408"/>
            <w:vAlign w:val="top"/>
            <w:tcMar>
              <w:top w:w="80" w:type="dxa"/>
              <w:start w:w="80" w:type="dxa"/>
              <w:bottom w:w="80" w:type="dxa"/>
              <w:end w:w="80" w:type="dxa"/>
            </w:tcMar>
          </w:tcPr>
          <w:p>
            <w:r>
              <w:rPr>
                <w:rFonts w:ascii="Liberation Sans" w:hAnsi="Liberation Sans"/>
                <w:sz w:val="16"/>
              </w:rPr>
              <w:t>Teacher / Minister</w:t>
            </w:r>
          </w:p>
        </w:tc>
        <w:tc>
          <w:tcPr>
            <w:tcW w:type="dxa" w:w="3408"/>
            <w:vAlign w:val="top"/>
            <w:tcMar>
              <w:top w:w="80" w:type="dxa"/>
              <w:start w:w="80" w:type="dxa"/>
              <w:bottom w:w="80" w:type="dxa"/>
              <w:end w:w="80" w:type="dxa"/>
            </w:tcMar>
          </w:tcPr>
          <w:p>
            <w:r>
              <w:rPr>
                <w:rFonts w:ascii="Liberation Sans" w:hAnsi="Liberation Sans"/>
                <w:sz w:val="16"/>
              </w:rPr>
              <w:t>No at first</w:t>
            </w:r>
          </w:p>
        </w:tc>
        <w:tc>
          <w:tcPr>
            <w:tcW w:type="dxa" w:w="3408"/>
            <w:vAlign w:val="top"/>
            <w:tcMar>
              <w:top w:w="80" w:type="dxa"/>
              <w:start w:w="80" w:type="dxa"/>
              <w:bottom w:w="80" w:type="dxa"/>
              <w:end w:w="80" w:type="dxa"/>
            </w:tcMar>
          </w:tcPr>
          <w:p>
            <w:r>
              <w:rPr>
                <w:rFonts w:ascii="Liberation Sans" w:hAnsi="Liberation Sans"/>
                <w:sz w:val="16"/>
              </w:rPr>
              <w:t>May be shared, visiting, remote, or developed later.</w:t>
            </w:r>
          </w:p>
        </w:tc>
      </w:tr>
      <w:tr>
        <w:trPr>
          <w:cantSplit/>
        </w:trPr>
        <w:tc>
          <w:tcPr>
            <w:tcW w:type="dxa" w:w="3408"/>
            <w:vAlign w:val="top"/>
            <w:tcMar>
              <w:top w:w="80" w:type="dxa"/>
              <w:start w:w="80" w:type="dxa"/>
              <w:bottom w:w="80" w:type="dxa"/>
              <w:end w:w="80" w:type="dxa"/>
            </w:tcMar>
          </w:tcPr>
          <w:p>
            <w:r>
              <w:rPr>
                <w:rFonts w:ascii="Liberation Sans" w:hAnsi="Liberation Sans"/>
                <w:sz w:val="16"/>
              </w:rPr>
              <w:t>Owned building</w:t>
            </w:r>
          </w:p>
        </w:tc>
        <w:tc>
          <w:tcPr>
            <w:tcW w:type="dxa" w:w="3408"/>
            <w:vAlign w:val="top"/>
            <w:tcMar>
              <w:top w:w="80" w:type="dxa"/>
              <w:start w:w="80" w:type="dxa"/>
              <w:bottom w:w="80" w:type="dxa"/>
              <w:end w:w="80" w:type="dxa"/>
            </w:tcMar>
          </w:tcPr>
          <w:p>
            <w:r>
              <w:rPr>
                <w:rFonts w:ascii="Liberation Sans" w:hAnsi="Liberation Sans"/>
                <w:sz w:val="16"/>
              </w:rPr>
              <w:t>No</w:t>
            </w:r>
          </w:p>
        </w:tc>
        <w:tc>
          <w:tcPr>
            <w:tcW w:type="dxa" w:w="3408"/>
            <w:vAlign w:val="top"/>
            <w:tcMar>
              <w:top w:w="80" w:type="dxa"/>
              <w:start w:w="80" w:type="dxa"/>
              <w:bottom w:w="80" w:type="dxa"/>
              <w:end w:w="80" w:type="dxa"/>
            </w:tcMar>
          </w:tcPr>
          <w:p>
            <w:r>
              <w:rPr>
                <w:rFonts w:ascii="Liberation Sans" w:hAnsi="Liberation Sans"/>
                <w:sz w:val="16"/>
              </w:rPr>
              <w:t>House means community/function, not property ownership.</w:t>
            </w:r>
          </w:p>
        </w:tc>
      </w:tr>
      <w:tr>
        <w:trPr>
          <w:cantSplit/>
        </w:trPr>
        <w:tc>
          <w:tcPr>
            <w:tcW w:type="dxa" w:w="3408"/>
            <w:vAlign w:val="top"/>
            <w:tcMar>
              <w:top w:w="80" w:type="dxa"/>
              <w:start w:w="80" w:type="dxa"/>
              <w:bottom w:w="80" w:type="dxa"/>
              <w:end w:w="80" w:type="dxa"/>
            </w:tcMar>
          </w:tcPr>
          <w:p>
            <w:r>
              <w:rPr>
                <w:rFonts w:ascii="Liberation Sans" w:hAnsi="Liberation Sans"/>
                <w:sz w:val="16"/>
              </w:rPr>
              <w:t>Separate bank account or legal entity</w:t>
            </w:r>
          </w:p>
        </w:tc>
        <w:tc>
          <w:tcPr>
            <w:tcW w:type="dxa" w:w="3408"/>
            <w:vAlign w:val="top"/>
            <w:tcMar>
              <w:top w:w="80" w:type="dxa"/>
              <w:start w:w="80" w:type="dxa"/>
              <w:bottom w:w="80" w:type="dxa"/>
              <w:end w:w="80" w:type="dxa"/>
            </w:tcMar>
          </w:tcPr>
          <w:p>
            <w:r>
              <w:rPr>
                <w:rFonts w:ascii="Liberation Sans" w:hAnsi="Liberation Sans"/>
                <w:sz w:val="16"/>
              </w:rPr>
              <w:t>No</w:t>
            </w:r>
          </w:p>
        </w:tc>
        <w:tc>
          <w:tcPr>
            <w:tcW w:type="dxa" w:w="3408"/>
            <w:vAlign w:val="top"/>
            <w:tcMar>
              <w:top w:w="80" w:type="dxa"/>
              <w:start w:w="80" w:type="dxa"/>
              <w:bottom w:w="80" w:type="dxa"/>
              <w:end w:w="80" w:type="dxa"/>
            </w:tcMar>
          </w:tcPr>
          <w:p>
            <w:r>
              <w:rPr>
                <w:rFonts w:ascii="Liberation Sans" w:hAnsi="Liberation Sans"/>
                <w:sz w:val="16"/>
              </w:rPr>
              <w:t>Requires explicit written authorization and legal structure.</w:t>
            </w:r>
          </w:p>
        </w:tc>
      </w:tr>
    </w:tbl>
    <w:p/>
    <w:p>
      <w:pPr>
        <w:pStyle w:val="Heading1"/>
      </w:pPr>
      <w:r>
        <w:t>6. Gatherings and Religious Practice Framework</w:t>
      </w:r>
    </w:p>
    <w:p>
      <w:r>
        <w:t>The first generation should establish recognizable patterns without freezing a complete liturgy before lived practice develops. Each gathering type therefore has a purpose, minimum elements, optional elements, and prohibited control techniques.</w:t>
      </w:r>
    </w:p>
    <w:p>
      <w:pPr>
        <w:pStyle w:val="Heading2"/>
      </w:pPr>
      <w:r>
        <w:t>Practice safeguards</w:t>
      </w:r>
    </w:p>
    <w:p>
      <w:pPr>
        <w:pStyle w:val="ListBullet"/>
      </w:pPr>
      <w:r>
        <w:t>No gathering may use sleep deprivation, food deprivation, prolonged exhaustion, forced confession, humiliation, intimidation, deceptive recruitment, restricted exit, confiscation of property or devices, or social isolation to produce commitment.</w:t>
      </w:r>
    </w:p>
    <w:p>
      <w:pPr>
        <w:pStyle w:val="ListBullet"/>
      </w:pPr>
      <w:r>
        <w:t>Prayer and testimony should not be used to announce binding commands over another adult's marriage, sexuality, healthcare, finances, residence, employment, education, or family relationships.</w:t>
      </w:r>
    </w:p>
    <w:p>
      <w:pPr>
        <w:pStyle w:val="ListBullet"/>
      </w:pPr>
      <w:r>
        <w:t>Children and vulnerable persons participate under safeguarding rules appropriate to the activity.</w:t>
      </w:r>
    </w:p>
    <w:p>
      <w:pPr>
        <w:pStyle w:val="Heading2"/>
      </w:pPr>
      <w:r>
        <w:t>The Common Table</w:t>
      </w:r>
    </w:p>
    <w:p>
      <w:pPr>
        <w:pStyle w:val="ListBullet"/>
      </w:pPr>
      <w:r>
        <w:t>The Common Table remains a candidate practice rather than a fixed sacrament. It may become a shared meal expressing hospitality, equality, gratitude, and companionship. No one should be excluded from ordinary food because of belief, status, donation level, criticism, or departure.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334155"/>
            <w:vAlign w:val="center"/>
            <w:tcMar>
              <w:top w:w="80" w:type="dxa"/>
              <w:start w:w="80" w:type="dxa"/>
              <w:bottom w:w="80" w:type="dxa"/>
              <w:end w:w="80" w:type="dxa"/>
            </w:tcMar>
          </w:tcPr>
          <w:p>
            <w:r>
              <w:rPr>
                <w:b/>
                <w:color w:val="FFFFFF"/>
                <w:sz w:val="17"/>
              </w:rPr>
              <w:t>Gathering</w:t>
            </w:r>
          </w:p>
        </w:tc>
        <w:tc>
          <w:tcPr>
            <w:tcW w:type="dxa" w:w="2556"/>
            <w:shd w:fill="334155"/>
            <w:vAlign w:val="center"/>
            <w:tcMar>
              <w:top w:w="80" w:type="dxa"/>
              <w:start w:w="80" w:type="dxa"/>
              <w:bottom w:w="80" w:type="dxa"/>
              <w:end w:w="80" w:type="dxa"/>
            </w:tcMar>
          </w:tcPr>
          <w:p>
            <w:r>
              <w:rPr>
                <w:b/>
                <w:color w:val="FFFFFF"/>
                <w:sz w:val="17"/>
              </w:rPr>
              <w:t>Core purpose</w:t>
            </w:r>
          </w:p>
        </w:tc>
        <w:tc>
          <w:tcPr>
            <w:tcW w:type="dxa" w:w="2556"/>
            <w:shd w:fill="334155"/>
            <w:vAlign w:val="center"/>
            <w:tcMar>
              <w:top w:w="80" w:type="dxa"/>
              <w:start w:w="80" w:type="dxa"/>
              <w:bottom w:w="80" w:type="dxa"/>
              <w:end w:w="80" w:type="dxa"/>
            </w:tcMar>
          </w:tcPr>
          <w:p>
            <w:r>
              <w:rPr>
                <w:b/>
                <w:color w:val="FFFFFF"/>
                <w:sz w:val="17"/>
              </w:rPr>
              <w:t>Minimum elements</w:t>
            </w:r>
          </w:p>
        </w:tc>
        <w:tc>
          <w:tcPr>
            <w:tcW w:type="dxa" w:w="2556"/>
            <w:shd w:fill="334155"/>
            <w:vAlign w:val="center"/>
            <w:tcMar>
              <w:top w:w="80" w:type="dxa"/>
              <w:start w:w="80" w:type="dxa"/>
              <w:bottom w:w="80" w:type="dxa"/>
              <w:end w:w="80" w:type="dxa"/>
            </w:tcMar>
          </w:tcPr>
          <w:p>
            <w:r>
              <w:rPr>
                <w:b/>
                <w:color w:val="FFFFFF"/>
                <w:sz w:val="17"/>
              </w:rPr>
              <w:t>Optional elements</w:t>
            </w:r>
          </w:p>
        </w:tc>
      </w:tr>
      <w:tr>
        <w:trPr>
          <w:cantSplit/>
        </w:trPr>
        <w:tc>
          <w:tcPr>
            <w:tcW w:type="dxa" w:w="2556"/>
            <w:vAlign w:val="top"/>
            <w:tcMar>
              <w:top w:w="80" w:type="dxa"/>
              <w:start w:w="80" w:type="dxa"/>
              <w:bottom w:w="80" w:type="dxa"/>
              <w:end w:w="80" w:type="dxa"/>
            </w:tcMar>
          </w:tcPr>
          <w:p>
            <w:r>
              <w:rPr>
                <w:rFonts w:ascii="Liberation Sans" w:hAnsi="Liberation Sans"/>
                <w:sz w:val="16"/>
              </w:rPr>
              <w:t>Gathering for Prayer</w:t>
            </w:r>
          </w:p>
        </w:tc>
        <w:tc>
          <w:tcPr>
            <w:tcW w:type="dxa" w:w="2556"/>
            <w:vAlign w:val="top"/>
            <w:tcMar>
              <w:top w:w="80" w:type="dxa"/>
              <w:start w:w="80" w:type="dxa"/>
              <w:bottom w:w="80" w:type="dxa"/>
              <w:end w:w="80" w:type="dxa"/>
            </w:tcMar>
          </w:tcPr>
          <w:p>
            <w:r>
              <w:rPr>
                <w:rFonts w:ascii="Liberation Sans" w:hAnsi="Liberation Sans"/>
                <w:sz w:val="16"/>
              </w:rPr>
              <w:t>Devotion, reverence, silence, petition, gratitude, lament, praise, remembrance.</w:t>
            </w:r>
          </w:p>
        </w:tc>
        <w:tc>
          <w:tcPr>
            <w:tcW w:type="dxa" w:w="2556"/>
            <w:vAlign w:val="top"/>
            <w:tcMar>
              <w:top w:w="80" w:type="dxa"/>
              <w:start w:w="80" w:type="dxa"/>
              <w:bottom w:w="80" w:type="dxa"/>
              <w:end w:w="80" w:type="dxa"/>
            </w:tcMar>
          </w:tcPr>
          <w:p>
            <w:r>
              <w:rPr>
                <w:rFonts w:ascii="Liberation Sans" w:hAnsi="Liberation Sans"/>
                <w:sz w:val="16"/>
              </w:rPr>
              <w:t>Opening welcome; prayer/silence; reading or reflection; communal intercession; closing.</w:t>
            </w:r>
          </w:p>
        </w:tc>
        <w:tc>
          <w:tcPr>
            <w:tcW w:type="dxa" w:w="2556"/>
            <w:vAlign w:val="top"/>
            <w:tcMar>
              <w:top w:w="80" w:type="dxa"/>
              <w:start w:w="80" w:type="dxa"/>
              <w:bottom w:w="80" w:type="dxa"/>
              <w:end w:w="80" w:type="dxa"/>
            </w:tcMar>
          </w:tcPr>
          <w:p>
            <w:r>
              <w:rPr>
                <w:rFonts w:ascii="Liberation Sans" w:hAnsi="Liberation Sans"/>
                <w:sz w:val="16"/>
              </w:rPr>
              <w:t>Music, chant, spontaneous prayer, structured prayers, candles, sacred art, periods of silence.</w:t>
            </w:r>
          </w:p>
        </w:tc>
      </w:tr>
      <w:tr>
        <w:trPr>
          <w:cantSplit/>
        </w:trPr>
        <w:tc>
          <w:tcPr>
            <w:tcW w:type="dxa" w:w="2556"/>
            <w:vAlign w:val="top"/>
            <w:tcMar>
              <w:top w:w="80" w:type="dxa"/>
              <w:start w:w="80" w:type="dxa"/>
              <w:bottom w:w="80" w:type="dxa"/>
              <w:end w:w="80" w:type="dxa"/>
            </w:tcMar>
          </w:tcPr>
          <w:p>
            <w:r>
              <w:rPr>
                <w:rFonts w:ascii="Liberation Sans" w:hAnsi="Liberation Sans"/>
                <w:sz w:val="16"/>
              </w:rPr>
              <w:t>Gathering for Study</w:t>
            </w:r>
          </w:p>
        </w:tc>
        <w:tc>
          <w:tcPr>
            <w:tcW w:type="dxa" w:w="2556"/>
            <w:vAlign w:val="top"/>
            <w:tcMar>
              <w:top w:w="80" w:type="dxa"/>
              <w:start w:w="80" w:type="dxa"/>
              <w:bottom w:w="80" w:type="dxa"/>
              <w:end w:w="80" w:type="dxa"/>
            </w:tcMar>
          </w:tcPr>
          <w:p>
            <w:r>
              <w:rPr>
                <w:rFonts w:ascii="Liberation Sans" w:hAnsi="Liberation Sans"/>
                <w:sz w:val="16"/>
              </w:rPr>
              <w:t>Serious learning and disciplined inquiry.</w:t>
            </w:r>
          </w:p>
        </w:tc>
        <w:tc>
          <w:tcPr>
            <w:tcW w:type="dxa" w:w="2556"/>
            <w:vAlign w:val="top"/>
            <w:tcMar>
              <w:top w:w="80" w:type="dxa"/>
              <w:start w:w="80" w:type="dxa"/>
              <w:bottom w:w="80" w:type="dxa"/>
              <w:end w:w="80" w:type="dxa"/>
            </w:tcMar>
          </w:tcPr>
          <w:p>
            <w:r>
              <w:rPr>
                <w:rFonts w:ascii="Liberation Sans" w:hAnsi="Liberation Sans"/>
                <w:sz w:val="16"/>
              </w:rPr>
              <w:t>Primary source; historical/contextual framing; competing interpretations; discussion; uncertainty made explicit.</w:t>
            </w:r>
          </w:p>
        </w:tc>
        <w:tc>
          <w:tcPr>
            <w:tcW w:type="dxa" w:w="2556"/>
            <w:vAlign w:val="top"/>
            <w:tcMar>
              <w:top w:w="80" w:type="dxa"/>
              <w:start w:w="80" w:type="dxa"/>
              <w:bottom w:w="80" w:type="dxa"/>
              <w:end w:w="80" w:type="dxa"/>
            </w:tcMar>
          </w:tcPr>
          <w:p>
            <w:r>
              <w:rPr>
                <w:rFonts w:ascii="Liberation Sans" w:hAnsi="Liberation Sans"/>
                <w:sz w:val="16"/>
              </w:rPr>
              <w:t>Language study, guest scholar, comparative texts, workshops, reading groups.</w:t>
            </w:r>
          </w:p>
        </w:tc>
      </w:tr>
      <w:tr>
        <w:trPr>
          <w:cantSplit/>
        </w:trPr>
        <w:tc>
          <w:tcPr>
            <w:tcW w:type="dxa" w:w="2556"/>
            <w:vAlign w:val="top"/>
            <w:tcMar>
              <w:top w:w="80" w:type="dxa"/>
              <w:start w:w="80" w:type="dxa"/>
              <w:bottom w:w="80" w:type="dxa"/>
              <w:end w:w="80" w:type="dxa"/>
            </w:tcMar>
          </w:tcPr>
          <w:p>
            <w:r>
              <w:rPr>
                <w:rFonts w:ascii="Liberation Sans" w:hAnsi="Liberation Sans"/>
                <w:sz w:val="16"/>
              </w:rPr>
              <w:t>Gathering for Service</w:t>
            </w:r>
          </w:p>
        </w:tc>
        <w:tc>
          <w:tcPr>
            <w:tcW w:type="dxa" w:w="2556"/>
            <w:vAlign w:val="top"/>
            <w:tcMar>
              <w:top w:w="80" w:type="dxa"/>
              <w:start w:w="80" w:type="dxa"/>
              <w:bottom w:w="80" w:type="dxa"/>
              <w:end w:w="80" w:type="dxa"/>
            </w:tcMar>
          </w:tcPr>
          <w:p>
            <w:r>
              <w:rPr>
                <w:rFonts w:ascii="Liberation Sans" w:hAnsi="Liberation Sans"/>
                <w:sz w:val="16"/>
              </w:rPr>
              <w:t>Practical care for people, communities, creatures, or environment.</w:t>
            </w:r>
          </w:p>
        </w:tc>
        <w:tc>
          <w:tcPr>
            <w:tcW w:type="dxa" w:w="2556"/>
            <w:vAlign w:val="top"/>
            <w:tcMar>
              <w:top w:w="80" w:type="dxa"/>
              <w:start w:w="80" w:type="dxa"/>
              <w:bottom w:w="80" w:type="dxa"/>
              <w:end w:w="80" w:type="dxa"/>
            </w:tcMar>
          </w:tcPr>
          <w:p>
            <w:r>
              <w:rPr>
                <w:rFonts w:ascii="Liberation Sans" w:hAnsi="Liberation Sans"/>
                <w:sz w:val="16"/>
              </w:rPr>
              <w:t>Real service need; voluntary participation; no conversion requirement; safety plan when needed.</w:t>
            </w:r>
          </w:p>
        </w:tc>
        <w:tc>
          <w:tcPr>
            <w:tcW w:type="dxa" w:w="2556"/>
            <w:vAlign w:val="top"/>
            <w:tcMar>
              <w:top w:w="80" w:type="dxa"/>
              <w:start w:w="80" w:type="dxa"/>
              <w:bottom w:w="80" w:type="dxa"/>
              <w:end w:w="80" w:type="dxa"/>
            </w:tcMar>
          </w:tcPr>
          <w:p>
            <w:r>
              <w:rPr>
                <w:rFonts w:ascii="Liberation Sans" w:hAnsi="Liberation Sans"/>
                <w:sz w:val="16"/>
              </w:rPr>
              <w:t>Food relief, mutual aid, environmental work, visitation, community projects.</w:t>
            </w:r>
          </w:p>
        </w:tc>
      </w:tr>
      <w:tr>
        <w:trPr>
          <w:cantSplit/>
        </w:trPr>
        <w:tc>
          <w:tcPr>
            <w:tcW w:type="dxa" w:w="2556"/>
            <w:vAlign w:val="top"/>
            <w:tcMar>
              <w:top w:w="80" w:type="dxa"/>
              <w:start w:w="80" w:type="dxa"/>
              <w:bottom w:w="80" w:type="dxa"/>
              <w:end w:w="80" w:type="dxa"/>
            </w:tcMar>
          </w:tcPr>
          <w:p>
            <w:r>
              <w:rPr>
                <w:rFonts w:ascii="Liberation Sans" w:hAnsi="Liberation Sans"/>
                <w:sz w:val="16"/>
              </w:rPr>
              <w:t>Gathering for Fellowship / Common Table</w:t>
            </w:r>
          </w:p>
        </w:tc>
        <w:tc>
          <w:tcPr>
            <w:tcW w:type="dxa" w:w="2556"/>
            <w:vAlign w:val="top"/>
            <w:tcMar>
              <w:top w:w="80" w:type="dxa"/>
              <w:start w:w="80" w:type="dxa"/>
              <w:bottom w:w="80" w:type="dxa"/>
              <w:end w:w="80" w:type="dxa"/>
            </w:tcMar>
          </w:tcPr>
          <w:p>
            <w:r>
              <w:rPr>
                <w:rFonts w:ascii="Liberation Sans" w:hAnsi="Liberation Sans"/>
                <w:sz w:val="16"/>
              </w:rPr>
              <w:t>Relationship, hospitality, equality, companionship.</w:t>
            </w:r>
          </w:p>
        </w:tc>
        <w:tc>
          <w:tcPr>
            <w:tcW w:type="dxa" w:w="2556"/>
            <w:vAlign w:val="top"/>
            <w:tcMar>
              <w:top w:w="80" w:type="dxa"/>
              <w:start w:w="80" w:type="dxa"/>
              <w:bottom w:w="80" w:type="dxa"/>
              <w:end w:w="80" w:type="dxa"/>
            </w:tcMar>
          </w:tcPr>
          <w:p>
            <w:r>
              <w:rPr>
                <w:rFonts w:ascii="Liberation Sans" w:hAnsi="Liberation Sans"/>
                <w:sz w:val="16"/>
              </w:rPr>
              <w:t>Shared welcome and meal or fellowship; accessibility; no status seating.</w:t>
            </w:r>
          </w:p>
        </w:tc>
        <w:tc>
          <w:tcPr>
            <w:tcW w:type="dxa" w:w="2556"/>
            <w:vAlign w:val="top"/>
            <w:tcMar>
              <w:top w:w="80" w:type="dxa"/>
              <w:start w:w="80" w:type="dxa"/>
              <w:bottom w:w="80" w:type="dxa"/>
              <w:end w:w="80" w:type="dxa"/>
            </w:tcMar>
          </w:tcPr>
          <w:p>
            <w:r>
              <w:rPr>
                <w:rFonts w:ascii="Liberation Sans" w:hAnsi="Liberation Sans"/>
                <w:sz w:val="16"/>
              </w:rPr>
              <w:t>Blessing, remembrance, testimony, celebration.</w:t>
            </w:r>
          </w:p>
        </w:tc>
      </w:tr>
      <w:tr>
        <w:trPr>
          <w:cantSplit/>
        </w:trPr>
        <w:tc>
          <w:tcPr>
            <w:tcW w:type="dxa" w:w="2556"/>
            <w:vAlign w:val="top"/>
            <w:tcMar>
              <w:top w:w="80" w:type="dxa"/>
              <w:start w:w="80" w:type="dxa"/>
              <w:bottom w:w="80" w:type="dxa"/>
              <w:end w:w="80" w:type="dxa"/>
            </w:tcMar>
          </w:tcPr>
          <w:p>
            <w:r>
              <w:rPr>
                <w:rFonts w:ascii="Liberation Sans" w:hAnsi="Liberation Sans"/>
                <w:sz w:val="16"/>
              </w:rPr>
              <w:t>Gathering for Discernment</w:t>
            </w:r>
          </w:p>
        </w:tc>
        <w:tc>
          <w:tcPr>
            <w:tcW w:type="dxa" w:w="2556"/>
            <w:vAlign w:val="top"/>
            <w:tcMar>
              <w:top w:w="80" w:type="dxa"/>
              <w:start w:w="80" w:type="dxa"/>
              <w:bottom w:w="80" w:type="dxa"/>
              <w:end w:w="80" w:type="dxa"/>
            </w:tcMar>
          </w:tcPr>
          <w:p>
            <w:r>
              <w:rPr>
                <w:rFonts w:ascii="Liberation Sans" w:hAnsi="Liberation Sans"/>
                <w:sz w:val="16"/>
              </w:rPr>
              <w:t>Communal testing of a question or proposed action.</w:t>
            </w:r>
          </w:p>
        </w:tc>
        <w:tc>
          <w:tcPr>
            <w:tcW w:type="dxa" w:w="2556"/>
            <w:vAlign w:val="top"/>
            <w:tcMar>
              <w:top w:w="80" w:type="dxa"/>
              <w:start w:w="80" w:type="dxa"/>
              <w:bottom w:w="80" w:type="dxa"/>
              <w:end w:w="80" w:type="dxa"/>
            </w:tcMar>
          </w:tcPr>
          <w:p>
            <w:r>
              <w:rPr>
                <w:rFonts w:ascii="Liberation Sans" w:hAnsi="Liberation Sans"/>
                <w:sz w:val="16"/>
              </w:rPr>
              <w:t>Question stated; conflicts disclosed; evidence/arguments heard; silence/reflection; recorded outcome and uncertainty.</w:t>
            </w:r>
          </w:p>
        </w:tc>
        <w:tc>
          <w:tcPr>
            <w:tcW w:type="dxa" w:w="2556"/>
            <w:vAlign w:val="top"/>
            <w:tcMar>
              <w:top w:w="80" w:type="dxa"/>
              <w:start w:w="80" w:type="dxa"/>
              <w:bottom w:w="80" w:type="dxa"/>
              <w:end w:w="80" w:type="dxa"/>
            </w:tcMar>
          </w:tcPr>
          <w:p>
            <w:r>
              <w:rPr>
                <w:rFonts w:ascii="Liberation Sans" w:hAnsi="Liberation Sans"/>
                <w:sz w:val="16"/>
              </w:rPr>
              <w:t>Consensus methods, structured dialogue, expert consultation.</w:t>
            </w:r>
          </w:p>
        </w:tc>
      </w:tr>
    </w:tbl>
    <w:p/>
    <w:p>
      <w:pPr>
        <w:pStyle w:val="Heading1"/>
      </w:pPr>
      <w:r>
        <w:t>7. Rule of Life Framework</w:t>
      </w:r>
    </w:p>
    <w:p>
      <w:r>
        <w:t>A Rule of Life is a voluntary pattern that helps a Companion embody the Way. It should guide rather than surveil. It is not an enforceable loyalty code and should allow adaptation to health, disability, family obligations, work, culture, and conscience.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334155"/>
            <w:vAlign w:val="center"/>
            <w:tcMar>
              <w:top w:w="80" w:type="dxa"/>
              <w:start w:w="80" w:type="dxa"/>
              <w:bottom w:w="80" w:type="dxa"/>
              <w:end w:w="80" w:type="dxa"/>
            </w:tcMar>
          </w:tcPr>
          <w:p>
            <w:r>
              <w:rPr>
                <w:b/>
                <w:color w:val="FFFFFF"/>
                <w:sz w:val="17"/>
              </w:rPr>
              <w:t>Domain</w:t>
            </w:r>
          </w:p>
        </w:tc>
        <w:tc>
          <w:tcPr>
            <w:tcW w:type="dxa" w:w="3408"/>
            <w:shd w:fill="334155"/>
            <w:vAlign w:val="center"/>
            <w:tcMar>
              <w:top w:w="80" w:type="dxa"/>
              <w:start w:w="80" w:type="dxa"/>
              <w:bottom w:w="80" w:type="dxa"/>
              <w:end w:w="80" w:type="dxa"/>
            </w:tcMar>
          </w:tcPr>
          <w:p>
            <w:r>
              <w:rPr>
                <w:b/>
                <w:color w:val="FFFFFF"/>
                <w:sz w:val="17"/>
              </w:rPr>
              <w:t>Working practice</w:t>
            </w:r>
          </w:p>
        </w:tc>
        <w:tc>
          <w:tcPr>
            <w:tcW w:type="dxa" w:w="3408"/>
            <w:shd w:fill="334155"/>
            <w:vAlign w:val="center"/>
            <w:tcMar>
              <w:top w:w="80" w:type="dxa"/>
              <w:start w:w="80" w:type="dxa"/>
              <w:bottom w:w="80" w:type="dxa"/>
              <w:end w:w="80" w:type="dxa"/>
            </w:tcMar>
          </w:tcPr>
          <w:p>
            <w:r>
              <w:rPr>
                <w:b/>
                <w:color w:val="FFFFFF"/>
                <w:sz w:val="17"/>
              </w:rPr>
              <w:t>Freedom / safeguard</w:t>
            </w:r>
          </w:p>
        </w:tc>
      </w:tr>
      <w:tr>
        <w:trPr>
          <w:cantSplit/>
        </w:trPr>
        <w:tc>
          <w:tcPr>
            <w:tcW w:type="dxa" w:w="3408"/>
            <w:vAlign w:val="top"/>
            <w:tcMar>
              <w:top w:w="80" w:type="dxa"/>
              <w:start w:w="80" w:type="dxa"/>
              <w:bottom w:w="80" w:type="dxa"/>
              <w:end w:w="80" w:type="dxa"/>
            </w:tcMar>
          </w:tcPr>
          <w:p>
            <w:r>
              <w:rPr>
                <w:rFonts w:ascii="Liberation Sans" w:hAnsi="Liberation Sans"/>
                <w:sz w:val="16"/>
              </w:rPr>
              <w:t>Prayer</w:t>
            </w:r>
          </w:p>
        </w:tc>
        <w:tc>
          <w:tcPr>
            <w:tcW w:type="dxa" w:w="3408"/>
            <w:vAlign w:val="top"/>
            <w:tcMar>
              <w:top w:w="80" w:type="dxa"/>
              <w:start w:w="80" w:type="dxa"/>
              <w:bottom w:w="80" w:type="dxa"/>
              <w:end w:w="80" w:type="dxa"/>
            </w:tcMar>
          </w:tcPr>
          <w:p>
            <w:r>
              <w:rPr>
                <w:rFonts w:ascii="Liberation Sans" w:hAnsi="Liberation Sans"/>
                <w:sz w:val="16"/>
              </w:rPr>
              <w:t>Maintain a regular practice of prayer, silence, contemplation, or devotional attention.</w:t>
            </w:r>
          </w:p>
        </w:tc>
        <w:tc>
          <w:tcPr>
            <w:tcW w:type="dxa" w:w="3408"/>
            <w:vAlign w:val="top"/>
            <w:tcMar>
              <w:top w:w="80" w:type="dxa"/>
              <w:start w:w="80" w:type="dxa"/>
              <w:bottom w:w="80" w:type="dxa"/>
              <w:end w:w="80" w:type="dxa"/>
            </w:tcMar>
          </w:tcPr>
          <w:p>
            <w:r>
              <w:rPr>
                <w:rFonts w:ascii="Liberation Sans" w:hAnsi="Liberation Sans"/>
                <w:sz w:val="16"/>
              </w:rPr>
              <w:t>Form and frequency may vary; pastoral guidance does not override conscience.</w:t>
            </w:r>
          </w:p>
        </w:tc>
      </w:tr>
      <w:tr>
        <w:trPr>
          <w:cantSplit/>
        </w:trPr>
        <w:tc>
          <w:tcPr>
            <w:tcW w:type="dxa" w:w="3408"/>
            <w:vAlign w:val="top"/>
            <w:tcMar>
              <w:top w:w="80" w:type="dxa"/>
              <w:start w:w="80" w:type="dxa"/>
              <w:bottom w:w="80" w:type="dxa"/>
              <w:end w:w="80" w:type="dxa"/>
            </w:tcMar>
          </w:tcPr>
          <w:p>
            <w:r>
              <w:rPr>
                <w:rFonts w:ascii="Liberation Sans" w:hAnsi="Liberation Sans"/>
                <w:sz w:val="16"/>
              </w:rPr>
              <w:t>Study</w:t>
            </w:r>
          </w:p>
        </w:tc>
        <w:tc>
          <w:tcPr>
            <w:tcW w:type="dxa" w:w="3408"/>
            <w:vAlign w:val="top"/>
            <w:tcMar>
              <w:top w:w="80" w:type="dxa"/>
              <w:start w:w="80" w:type="dxa"/>
              <w:bottom w:w="80" w:type="dxa"/>
              <w:end w:w="80" w:type="dxa"/>
            </w:tcMar>
          </w:tcPr>
          <w:p>
            <w:r>
              <w:rPr>
                <w:rFonts w:ascii="Liberation Sans" w:hAnsi="Liberation Sans"/>
                <w:sz w:val="16"/>
              </w:rPr>
              <w:t>Engage sacred sources, history, scholarship, and competing interpretations.</w:t>
            </w:r>
          </w:p>
        </w:tc>
        <w:tc>
          <w:tcPr>
            <w:tcW w:type="dxa" w:w="3408"/>
            <w:vAlign w:val="top"/>
            <w:tcMar>
              <w:top w:w="80" w:type="dxa"/>
              <w:start w:w="80" w:type="dxa"/>
              <w:bottom w:w="80" w:type="dxa"/>
              <w:end w:w="80" w:type="dxa"/>
            </w:tcMar>
          </w:tcPr>
          <w:p>
            <w:r>
              <w:rPr>
                <w:rFonts w:ascii="Liberation Sans" w:hAnsi="Liberation Sans"/>
                <w:sz w:val="16"/>
              </w:rPr>
              <w:t>Outside books, traditions, critics, and scholarship are welcomed.</w:t>
            </w:r>
          </w:p>
        </w:tc>
      </w:tr>
      <w:tr>
        <w:trPr>
          <w:cantSplit/>
        </w:trPr>
        <w:tc>
          <w:tcPr>
            <w:tcW w:type="dxa" w:w="3408"/>
            <w:vAlign w:val="top"/>
            <w:tcMar>
              <w:top w:w="80" w:type="dxa"/>
              <w:start w:w="80" w:type="dxa"/>
              <w:bottom w:w="80" w:type="dxa"/>
              <w:end w:w="80" w:type="dxa"/>
            </w:tcMar>
          </w:tcPr>
          <w:p>
            <w:r>
              <w:rPr>
                <w:rFonts w:ascii="Liberation Sans" w:hAnsi="Liberation Sans"/>
                <w:sz w:val="16"/>
              </w:rPr>
              <w:t>Ethics</w:t>
            </w:r>
          </w:p>
        </w:tc>
        <w:tc>
          <w:tcPr>
            <w:tcW w:type="dxa" w:w="3408"/>
            <w:vAlign w:val="top"/>
            <w:tcMar>
              <w:top w:w="80" w:type="dxa"/>
              <w:start w:w="80" w:type="dxa"/>
              <w:bottom w:w="80" w:type="dxa"/>
              <w:end w:w="80" w:type="dxa"/>
            </w:tcMar>
          </w:tcPr>
          <w:p>
            <w:r>
              <w:rPr>
                <w:rFonts w:ascii="Liberation Sans" w:hAnsi="Liberation Sans"/>
                <w:sz w:val="16"/>
              </w:rPr>
              <w:t>Seek honesty, justice, mercy, non-exploitation, sexual integrity, and responsible use of power.</w:t>
            </w:r>
          </w:p>
        </w:tc>
        <w:tc>
          <w:tcPr>
            <w:tcW w:type="dxa" w:w="3408"/>
            <w:vAlign w:val="top"/>
            <w:tcMar>
              <w:top w:w="80" w:type="dxa"/>
              <w:start w:w="80" w:type="dxa"/>
              <w:bottom w:w="80" w:type="dxa"/>
              <w:end w:w="80" w:type="dxa"/>
            </w:tcMar>
          </w:tcPr>
          <w:p>
            <w:r>
              <w:rPr>
                <w:rFonts w:ascii="Liberation Sans" w:hAnsi="Liberation Sans"/>
                <w:sz w:val="16"/>
              </w:rPr>
              <w:t>Ethics are taught transparently; discipline requires due process.</w:t>
            </w:r>
          </w:p>
        </w:tc>
      </w:tr>
      <w:tr>
        <w:trPr>
          <w:cantSplit/>
        </w:trPr>
        <w:tc>
          <w:tcPr>
            <w:tcW w:type="dxa" w:w="3408"/>
            <w:vAlign w:val="top"/>
            <w:tcMar>
              <w:top w:w="80" w:type="dxa"/>
              <w:start w:w="80" w:type="dxa"/>
              <w:bottom w:w="80" w:type="dxa"/>
              <w:end w:w="80" w:type="dxa"/>
            </w:tcMar>
          </w:tcPr>
          <w:p>
            <w:r>
              <w:rPr>
                <w:rFonts w:ascii="Liberation Sans" w:hAnsi="Liberation Sans"/>
                <w:sz w:val="16"/>
              </w:rPr>
              <w:t>Service</w:t>
            </w:r>
          </w:p>
        </w:tc>
        <w:tc>
          <w:tcPr>
            <w:tcW w:type="dxa" w:w="3408"/>
            <w:vAlign w:val="top"/>
            <w:tcMar>
              <w:top w:w="80" w:type="dxa"/>
              <w:start w:w="80" w:type="dxa"/>
              <w:bottom w:w="80" w:type="dxa"/>
              <w:end w:w="80" w:type="dxa"/>
            </w:tcMar>
          </w:tcPr>
          <w:p>
            <w:r>
              <w:rPr>
                <w:rFonts w:ascii="Liberation Sans" w:hAnsi="Liberation Sans"/>
                <w:sz w:val="16"/>
              </w:rPr>
              <w:t>Offer time, skill, resources, or care according to capacity.</w:t>
            </w:r>
          </w:p>
        </w:tc>
        <w:tc>
          <w:tcPr>
            <w:tcW w:type="dxa" w:w="3408"/>
            <w:vAlign w:val="top"/>
            <w:tcMar>
              <w:top w:w="80" w:type="dxa"/>
              <w:start w:w="80" w:type="dxa"/>
              <w:bottom w:w="80" w:type="dxa"/>
              <w:end w:w="80" w:type="dxa"/>
            </w:tcMar>
          </w:tcPr>
          <w:p>
            <w:r>
              <w:rPr>
                <w:rFonts w:ascii="Liberation Sans" w:hAnsi="Liberation Sans"/>
                <w:sz w:val="16"/>
              </w:rPr>
              <w:t>No compulsory labor or giving; service never purchases spiritual rank.</w:t>
            </w:r>
          </w:p>
        </w:tc>
      </w:tr>
      <w:tr>
        <w:trPr>
          <w:cantSplit/>
        </w:trPr>
        <w:tc>
          <w:tcPr>
            <w:tcW w:type="dxa" w:w="3408"/>
            <w:vAlign w:val="top"/>
            <w:tcMar>
              <w:top w:w="80" w:type="dxa"/>
              <w:start w:w="80" w:type="dxa"/>
              <w:bottom w:w="80" w:type="dxa"/>
              <w:end w:w="80" w:type="dxa"/>
            </w:tcMar>
          </w:tcPr>
          <w:p>
            <w:r>
              <w:rPr>
                <w:rFonts w:ascii="Liberation Sans" w:hAnsi="Liberation Sans"/>
                <w:sz w:val="16"/>
              </w:rPr>
              <w:t>Fellowship</w:t>
            </w:r>
          </w:p>
        </w:tc>
        <w:tc>
          <w:tcPr>
            <w:tcW w:type="dxa" w:w="3408"/>
            <w:vAlign w:val="top"/>
            <w:tcMar>
              <w:top w:w="80" w:type="dxa"/>
              <w:start w:w="80" w:type="dxa"/>
              <w:bottom w:w="80" w:type="dxa"/>
              <w:end w:w="80" w:type="dxa"/>
            </w:tcMar>
          </w:tcPr>
          <w:p>
            <w:r>
              <w:rPr>
                <w:rFonts w:ascii="Liberation Sans" w:hAnsi="Liberation Sans"/>
                <w:sz w:val="16"/>
              </w:rPr>
              <w:t>Participate in mutual care and community life as reasonably able.</w:t>
            </w:r>
          </w:p>
        </w:tc>
        <w:tc>
          <w:tcPr>
            <w:tcW w:type="dxa" w:w="3408"/>
            <w:vAlign w:val="top"/>
            <w:tcMar>
              <w:top w:w="80" w:type="dxa"/>
              <w:start w:w="80" w:type="dxa"/>
              <w:bottom w:w="80" w:type="dxa"/>
              <w:end w:w="80" w:type="dxa"/>
            </w:tcMar>
          </w:tcPr>
          <w:p>
            <w:r>
              <w:rPr>
                <w:rFonts w:ascii="Liberation Sans" w:hAnsi="Liberation Sans"/>
                <w:sz w:val="16"/>
              </w:rPr>
              <w:t>Outside friendships and family relationships are never prohibited.</w:t>
            </w:r>
          </w:p>
        </w:tc>
      </w:tr>
      <w:tr>
        <w:trPr>
          <w:cantSplit/>
        </w:trPr>
        <w:tc>
          <w:tcPr>
            <w:tcW w:type="dxa" w:w="3408"/>
            <w:vAlign w:val="top"/>
            <w:tcMar>
              <w:top w:w="80" w:type="dxa"/>
              <w:start w:w="80" w:type="dxa"/>
              <w:bottom w:w="80" w:type="dxa"/>
              <w:end w:w="80" w:type="dxa"/>
            </w:tcMar>
          </w:tcPr>
          <w:p>
            <w:r>
              <w:rPr>
                <w:rFonts w:ascii="Liberation Sans" w:hAnsi="Liberation Sans"/>
                <w:sz w:val="16"/>
              </w:rPr>
              <w:t>Discernment</w:t>
            </w:r>
          </w:p>
        </w:tc>
        <w:tc>
          <w:tcPr>
            <w:tcW w:type="dxa" w:w="3408"/>
            <w:vAlign w:val="top"/>
            <w:tcMar>
              <w:top w:w="80" w:type="dxa"/>
              <w:start w:w="80" w:type="dxa"/>
              <w:bottom w:w="80" w:type="dxa"/>
              <w:end w:w="80" w:type="dxa"/>
            </w:tcMar>
          </w:tcPr>
          <w:p>
            <w:r>
              <w:rPr>
                <w:rFonts w:ascii="Liberation Sans" w:hAnsi="Liberation Sans"/>
                <w:sz w:val="16"/>
              </w:rPr>
              <w:t>Test beliefs, motives, experiences, and major decisions.</w:t>
            </w:r>
          </w:p>
        </w:tc>
        <w:tc>
          <w:tcPr>
            <w:tcW w:type="dxa" w:w="3408"/>
            <w:vAlign w:val="top"/>
            <w:tcMar>
              <w:top w:w="80" w:type="dxa"/>
              <w:start w:w="80" w:type="dxa"/>
              <w:bottom w:w="80" w:type="dxa"/>
              <w:end w:w="80" w:type="dxa"/>
            </w:tcMar>
          </w:tcPr>
          <w:p>
            <w:r>
              <w:rPr>
                <w:rFonts w:ascii="Liberation Sans" w:hAnsi="Liberation Sans"/>
                <w:sz w:val="16"/>
              </w:rPr>
              <w:t>Leaders may advise but cannot seize personal decision-making authority.</w:t>
            </w:r>
          </w:p>
        </w:tc>
      </w:tr>
      <w:tr>
        <w:trPr>
          <w:cantSplit/>
        </w:trPr>
        <w:tc>
          <w:tcPr>
            <w:tcW w:type="dxa" w:w="3408"/>
            <w:vAlign w:val="top"/>
            <w:tcMar>
              <w:top w:w="80" w:type="dxa"/>
              <w:start w:w="80" w:type="dxa"/>
              <w:bottom w:w="80" w:type="dxa"/>
              <w:end w:w="80" w:type="dxa"/>
            </w:tcMar>
          </w:tcPr>
          <w:p>
            <w:r>
              <w:rPr>
                <w:rFonts w:ascii="Liberation Sans" w:hAnsi="Liberation Sans"/>
                <w:sz w:val="16"/>
              </w:rPr>
              <w:t>Rest / retreat</w:t>
            </w:r>
          </w:p>
        </w:tc>
        <w:tc>
          <w:tcPr>
            <w:tcW w:type="dxa" w:w="3408"/>
            <w:vAlign w:val="top"/>
            <w:tcMar>
              <w:top w:w="80" w:type="dxa"/>
              <w:start w:w="80" w:type="dxa"/>
              <w:bottom w:w="80" w:type="dxa"/>
              <w:end w:w="80" w:type="dxa"/>
            </w:tcMar>
          </w:tcPr>
          <w:p>
            <w:r>
              <w:rPr>
                <w:rFonts w:ascii="Liberation Sans" w:hAnsi="Liberation Sans"/>
                <w:sz w:val="16"/>
              </w:rPr>
              <w:t>Make room for rest, reflection, and voluntary retreat.</w:t>
            </w:r>
          </w:p>
        </w:tc>
        <w:tc>
          <w:tcPr>
            <w:tcW w:type="dxa" w:w="3408"/>
            <w:vAlign w:val="top"/>
            <w:tcMar>
              <w:top w:w="80" w:type="dxa"/>
              <w:start w:w="80" w:type="dxa"/>
              <w:bottom w:w="80" w:type="dxa"/>
              <w:end w:w="80" w:type="dxa"/>
            </w:tcMar>
          </w:tcPr>
          <w:p>
            <w:r>
              <w:rPr>
                <w:rFonts w:ascii="Liberation Sans" w:hAnsi="Liberation Sans"/>
                <w:sz w:val="16"/>
              </w:rPr>
              <w:t>No isolation or deprivation used to create dependence.</w:t>
            </w:r>
          </w:p>
        </w:tc>
      </w:tr>
    </w:tbl>
    <w:p/>
    <w:p>
      <w:pPr>
        <w:pStyle w:val="Heading1"/>
      </w:pPr>
      <w:r>
        <w:t>8. Ministry Roles, Commissioning, and Accountability</w:t>
      </w:r>
    </w:p>
    <w:p>
      <w:r>
        <w:t>Ministry is service under defined trust. Commissioning is the present working process for authorizing a person to perform specified religious functions. Ordination remains reserved until theology and practice justify a distinct enduring office.</w:t>
      </w:r>
    </w:p>
    <w:p>
      <w:pPr>
        <w:pStyle w:val="Heading2"/>
      </w:pPr>
      <w:r>
        <w:t>Commissioning sequence</w:t>
      </w:r>
    </w:p>
    <w:p>
      <w:pPr>
        <w:ind w:left="259"/>
      </w:pPr>
      <w:r>
        <w:t>1. Need and role definition.</w:t>
      </w:r>
    </w:p>
    <w:p>
      <w:pPr>
        <w:ind w:left="259"/>
      </w:pPr>
      <w:r>
        <w:t>2. Candidate self-nomination or nomination without pressure.</w:t>
      </w:r>
    </w:p>
    <w:p>
      <w:pPr>
        <w:ind w:left="259"/>
      </w:pPr>
      <w:r>
        <w:t>3. Conflict, safeguarding, and background review appropriate to the role.</w:t>
      </w:r>
    </w:p>
    <w:p>
      <w:pPr>
        <w:ind w:left="259"/>
      </w:pPr>
      <w:r>
        <w:t>4. Competence and formation assessment.</w:t>
      </w:r>
    </w:p>
    <w:p>
      <w:pPr>
        <w:ind w:left="259"/>
      </w:pPr>
      <w:r>
        <w:t>5. Opportunity for relevant community feedback.</w:t>
      </w:r>
    </w:p>
    <w:p>
      <w:pPr>
        <w:ind w:left="259"/>
      </w:pPr>
      <w:r>
        <w:t>6. Written scope, supervision, term, boundaries, and complaint route.</w:t>
      </w:r>
    </w:p>
    <w:p>
      <w:pPr>
        <w:ind w:left="259"/>
      </w:pPr>
      <w:r>
        <w:t>7. Public commissioning or written authorization.</w:t>
      </w:r>
    </w:p>
    <w:p>
      <w:pPr>
        <w:ind w:left="259"/>
      </w:pPr>
      <w:r>
        <w:t>8. Periodic renewal, review, and continuing formation.</w:t>
      </w:r>
    </w:p>
    <w:p>
      <w:pPr>
        <w:ind w:left="259"/>
      </w:pPr>
      <w:r>
        <w:t>9. Suspension or removal through defined due process when necessary.</w:t>
      </w:r>
    </w:p>
    <w:p>
      <w:pPr>
        <w:ind w:left="259"/>
      </w:pPr>
      <w:r>
        <w:t>10. Return to ordinary Companion status is normal and carries no stigma.</w:t>
      </w:r>
    </w:p>
    <w:p>
      <w:pPr>
        <w:pStyle w:val="Heading2"/>
      </w:pPr>
      <w:r>
        <w:t>Founder rule</w:t>
      </w:r>
    </w:p>
    <w:p>
      <w:pPr>
        <w:pStyle w:val="ListBullet"/>
      </w:pPr>
      <w:r>
        <w:t>The founder may be commissioned for specific functions like any other person, but founder status by itself grants no ministry credential, doctrinal veto, succession right, compensation authority, or exemption from discipline.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334155"/>
            <w:vAlign w:val="center"/>
            <w:tcMar>
              <w:top w:w="80" w:type="dxa"/>
              <w:start w:w="80" w:type="dxa"/>
              <w:bottom w:w="80" w:type="dxa"/>
              <w:end w:w="80" w:type="dxa"/>
            </w:tcMar>
          </w:tcPr>
          <w:p>
            <w:r>
              <w:rPr>
                <w:b/>
                <w:color w:val="FFFFFF"/>
                <w:sz w:val="17"/>
              </w:rPr>
              <w:t>Role</w:t>
            </w:r>
          </w:p>
        </w:tc>
        <w:tc>
          <w:tcPr>
            <w:tcW w:type="dxa" w:w="2556"/>
            <w:shd w:fill="334155"/>
            <w:vAlign w:val="center"/>
            <w:tcMar>
              <w:top w:w="80" w:type="dxa"/>
              <w:start w:w="80" w:type="dxa"/>
              <w:bottom w:w="80" w:type="dxa"/>
              <w:end w:w="80" w:type="dxa"/>
            </w:tcMar>
          </w:tcPr>
          <w:p>
            <w:r>
              <w:rPr>
                <w:b/>
                <w:color w:val="FFFFFF"/>
                <w:sz w:val="17"/>
              </w:rPr>
              <w:t>Primary function</w:t>
            </w:r>
          </w:p>
        </w:tc>
        <w:tc>
          <w:tcPr>
            <w:tcW w:type="dxa" w:w="2556"/>
            <w:shd w:fill="334155"/>
            <w:vAlign w:val="center"/>
            <w:tcMar>
              <w:top w:w="80" w:type="dxa"/>
              <w:start w:w="80" w:type="dxa"/>
              <w:bottom w:w="80" w:type="dxa"/>
              <w:end w:w="80" w:type="dxa"/>
            </w:tcMar>
          </w:tcPr>
          <w:p>
            <w:r>
              <w:rPr>
                <w:b/>
                <w:color w:val="FFFFFF"/>
                <w:sz w:val="17"/>
              </w:rPr>
              <w:t>Required controls</w:t>
            </w:r>
          </w:p>
        </w:tc>
        <w:tc>
          <w:tcPr>
            <w:tcW w:type="dxa" w:w="2556"/>
            <w:shd w:fill="334155"/>
            <w:vAlign w:val="center"/>
            <w:tcMar>
              <w:top w:w="80" w:type="dxa"/>
              <w:start w:w="80" w:type="dxa"/>
              <w:bottom w:w="80" w:type="dxa"/>
              <w:end w:w="80" w:type="dxa"/>
            </w:tcMar>
          </w:tcPr>
          <w:p>
            <w:r>
              <w:rPr>
                <w:b/>
                <w:color w:val="FFFFFF"/>
                <w:sz w:val="17"/>
              </w:rPr>
              <w:t>Not conferred</w:t>
            </w:r>
          </w:p>
        </w:tc>
      </w:tr>
      <w:tr>
        <w:trPr>
          <w:cantSplit/>
        </w:trPr>
        <w:tc>
          <w:tcPr>
            <w:tcW w:type="dxa" w:w="2556"/>
            <w:vAlign w:val="top"/>
            <w:tcMar>
              <w:top w:w="80" w:type="dxa"/>
              <w:start w:w="80" w:type="dxa"/>
              <w:bottom w:w="80" w:type="dxa"/>
              <w:end w:w="80" w:type="dxa"/>
            </w:tcMar>
          </w:tcPr>
          <w:p>
            <w:r>
              <w:rPr>
                <w:rFonts w:ascii="Liberation Sans" w:hAnsi="Liberation Sans"/>
                <w:sz w:val="16"/>
              </w:rPr>
              <w:t>Teacher</w:t>
            </w:r>
          </w:p>
        </w:tc>
        <w:tc>
          <w:tcPr>
            <w:tcW w:type="dxa" w:w="2556"/>
            <w:vAlign w:val="top"/>
            <w:tcMar>
              <w:top w:w="80" w:type="dxa"/>
              <w:start w:w="80" w:type="dxa"/>
              <w:bottom w:w="80" w:type="dxa"/>
              <w:end w:w="80" w:type="dxa"/>
            </w:tcMar>
          </w:tcPr>
          <w:p>
            <w:r>
              <w:rPr>
                <w:rFonts w:ascii="Liberation Sans" w:hAnsi="Liberation Sans"/>
                <w:sz w:val="16"/>
              </w:rPr>
              <w:t>Teach defined subjects or practices.</w:t>
            </w:r>
          </w:p>
        </w:tc>
        <w:tc>
          <w:tcPr>
            <w:tcW w:type="dxa" w:w="2556"/>
            <w:vAlign w:val="top"/>
            <w:tcMar>
              <w:top w:w="80" w:type="dxa"/>
              <w:start w:w="80" w:type="dxa"/>
              <w:bottom w:w="80" w:type="dxa"/>
              <w:end w:w="80" w:type="dxa"/>
            </w:tcMar>
          </w:tcPr>
          <w:p>
            <w:r>
              <w:rPr>
                <w:rFonts w:ascii="Liberation Sans" w:hAnsi="Liberation Sans"/>
                <w:sz w:val="16"/>
              </w:rPr>
              <w:t>Competence review, source integrity, feedback, periodic renewal.</w:t>
            </w:r>
          </w:p>
        </w:tc>
        <w:tc>
          <w:tcPr>
            <w:tcW w:type="dxa" w:w="2556"/>
            <w:vAlign w:val="top"/>
            <w:tcMar>
              <w:top w:w="80" w:type="dxa"/>
              <w:start w:w="80" w:type="dxa"/>
              <w:bottom w:w="80" w:type="dxa"/>
              <w:end w:w="80" w:type="dxa"/>
            </w:tcMar>
          </w:tcPr>
          <w:p>
            <w:r>
              <w:rPr>
                <w:rFonts w:ascii="Liberation Sans" w:hAnsi="Liberation Sans"/>
                <w:sz w:val="16"/>
              </w:rPr>
              <w:t>Infallibility, financial authority, pastoral control.</w:t>
            </w:r>
          </w:p>
        </w:tc>
      </w:tr>
      <w:tr>
        <w:trPr>
          <w:cantSplit/>
        </w:trPr>
        <w:tc>
          <w:tcPr>
            <w:tcW w:type="dxa" w:w="2556"/>
            <w:vAlign w:val="top"/>
            <w:tcMar>
              <w:top w:w="80" w:type="dxa"/>
              <w:start w:w="80" w:type="dxa"/>
              <w:bottom w:w="80" w:type="dxa"/>
              <w:end w:w="80" w:type="dxa"/>
            </w:tcMar>
          </w:tcPr>
          <w:p>
            <w:r>
              <w:rPr>
                <w:rFonts w:ascii="Liberation Sans" w:hAnsi="Liberation Sans"/>
                <w:sz w:val="16"/>
              </w:rPr>
              <w:t>Minister</w:t>
            </w:r>
          </w:p>
        </w:tc>
        <w:tc>
          <w:tcPr>
            <w:tcW w:type="dxa" w:w="2556"/>
            <w:vAlign w:val="top"/>
            <w:tcMar>
              <w:top w:w="80" w:type="dxa"/>
              <w:start w:w="80" w:type="dxa"/>
              <w:bottom w:w="80" w:type="dxa"/>
              <w:end w:w="80" w:type="dxa"/>
            </w:tcMar>
          </w:tcPr>
          <w:p>
            <w:r>
              <w:rPr>
                <w:rFonts w:ascii="Liberation Sans" w:hAnsi="Liberation Sans"/>
                <w:sz w:val="16"/>
              </w:rPr>
              <w:t>Prayer, pastoral care, worship leadership, rites or other commissioned functions.</w:t>
            </w:r>
          </w:p>
        </w:tc>
        <w:tc>
          <w:tcPr>
            <w:tcW w:type="dxa" w:w="2556"/>
            <w:vAlign w:val="top"/>
            <w:tcMar>
              <w:top w:w="80" w:type="dxa"/>
              <w:start w:w="80" w:type="dxa"/>
              <w:bottom w:w="80" w:type="dxa"/>
              <w:end w:w="80" w:type="dxa"/>
            </w:tcMar>
          </w:tcPr>
          <w:p>
            <w:r>
              <w:rPr>
                <w:rFonts w:ascii="Liberation Sans" w:hAnsi="Liberation Sans"/>
                <w:sz w:val="16"/>
              </w:rPr>
              <w:t>Training, ethics, safeguarding, supervision, scope statement, complaint route.</w:t>
            </w:r>
          </w:p>
        </w:tc>
        <w:tc>
          <w:tcPr>
            <w:tcW w:type="dxa" w:w="2556"/>
            <w:vAlign w:val="top"/>
            <w:tcMar>
              <w:top w:w="80" w:type="dxa"/>
              <w:start w:w="80" w:type="dxa"/>
              <w:bottom w:w="80" w:type="dxa"/>
              <w:end w:w="80" w:type="dxa"/>
            </w:tcMar>
          </w:tcPr>
          <w:p>
            <w:r>
              <w:rPr>
                <w:rFonts w:ascii="Liberation Sans" w:hAnsi="Liberation Sans"/>
                <w:sz w:val="16"/>
              </w:rPr>
              <w:t>Automatic executive authority, immunity, sexual access, binding revelation.</w:t>
            </w:r>
          </w:p>
        </w:tc>
      </w:tr>
      <w:tr>
        <w:trPr>
          <w:cantSplit/>
        </w:trPr>
        <w:tc>
          <w:tcPr>
            <w:tcW w:type="dxa" w:w="2556"/>
            <w:vAlign w:val="top"/>
            <w:tcMar>
              <w:top w:w="80" w:type="dxa"/>
              <w:start w:w="80" w:type="dxa"/>
              <w:bottom w:w="80" w:type="dxa"/>
              <w:end w:w="80" w:type="dxa"/>
            </w:tcMar>
          </w:tcPr>
          <w:p>
            <w:r>
              <w:rPr>
                <w:rFonts w:ascii="Liberation Sans" w:hAnsi="Liberation Sans"/>
                <w:sz w:val="16"/>
              </w:rPr>
              <w:t>Steward</w:t>
            </w:r>
          </w:p>
        </w:tc>
        <w:tc>
          <w:tcPr>
            <w:tcW w:type="dxa" w:w="2556"/>
            <w:vAlign w:val="top"/>
            <w:tcMar>
              <w:top w:w="80" w:type="dxa"/>
              <w:start w:w="80" w:type="dxa"/>
              <w:bottom w:w="80" w:type="dxa"/>
              <w:end w:w="80" w:type="dxa"/>
            </w:tcMar>
          </w:tcPr>
          <w:p>
            <w:r>
              <w:rPr>
                <w:rFonts w:ascii="Liberation Sans" w:hAnsi="Liberation Sans"/>
                <w:sz w:val="16"/>
              </w:rPr>
              <w:t>Resources, operations, property, administration, records, or local coordination.</w:t>
            </w:r>
          </w:p>
        </w:tc>
        <w:tc>
          <w:tcPr>
            <w:tcW w:type="dxa" w:w="2556"/>
            <w:vAlign w:val="top"/>
            <w:tcMar>
              <w:top w:w="80" w:type="dxa"/>
              <w:start w:w="80" w:type="dxa"/>
              <w:bottom w:w="80" w:type="dxa"/>
              <w:end w:w="80" w:type="dxa"/>
            </w:tcMar>
          </w:tcPr>
          <w:p>
            <w:r>
              <w:rPr>
                <w:rFonts w:ascii="Liberation Sans" w:hAnsi="Liberation Sans"/>
                <w:sz w:val="16"/>
              </w:rPr>
              <w:t>Segregation of duties, financial controls, documentation, review.</w:t>
            </w:r>
          </w:p>
        </w:tc>
        <w:tc>
          <w:tcPr>
            <w:tcW w:type="dxa" w:w="2556"/>
            <w:vAlign w:val="top"/>
            <w:tcMar>
              <w:top w:w="80" w:type="dxa"/>
              <w:start w:w="80" w:type="dxa"/>
              <w:bottom w:w="80" w:type="dxa"/>
              <w:end w:w="80" w:type="dxa"/>
            </w:tcMar>
          </w:tcPr>
          <w:p>
            <w:r>
              <w:rPr>
                <w:rFonts w:ascii="Liberation Sans" w:hAnsi="Liberation Sans"/>
                <w:sz w:val="16"/>
              </w:rPr>
              <w:t>Spiritual rank or ownership of entrusted assets.</w:t>
            </w:r>
          </w:p>
        </w:tc>
      </w:tr>
      <w:tr>
        <w:trPr>
          <w:cantSplit/>
        </w:trPr>
        <w:tc>
          <w:tcPr>
            <w:tcW w:type="dxa" w:w="2556"/>
            <w:vAlign w:val="top"/>
            <w:tcMar>
              <w:top w:w="80" w:type="dxa"/>
              <w:start w:w="80" w:type="dxa"/>
              <w:bottom w:w="80" w:type="dxa"/>
              <w:end w:w="80" w:type="dxa"/>
            </w:tcMar>
          </w:tcPr>
          <w:p>
            <w:r>
              <w:rPr>
                <w:rFonts w:ascii="Liberation Sans" w:hAnsi="Liberation Sans"/>
                <w:sz w:val="16"/>
              </w:rPr>
              <w:t>Elder (provisional)</w:t>
            </w:r>
          </w:p>
        </w:tc>
        <w:tc>
          <w:tcPr>
            <w:tcW w:type="dxa" w:w="2556"/>
            <w:vAlign w:val="top"/>
            <w:tcMar>
              <w:top w:w="80" w:type="dxa"/>
              <w:start w:w="80" w:type="dxa"/>
              <w:bottom w:w="80" w:type="dxa"/>
              <w:end w:w="80" w:type="dxa"/>
            </w:tcMar>
          </w:tcPr>
          <w:p>
            <w:r>
              <w:rPr>
                <w:rFonts w:ascii="Liberation Sans" w:hAnsi="Liberation Sans"/>
                <w:sz w:val="16"/>
              </w:rPr>
              <w:t>Wisdom, mentoring, continuity, counsel.</w:t>
            </w:r>
          </w:p>
        </w:tc>
        <w:tc>
          <w:tcPr>
            <w:tcW w:type="dxa" w:w="2556"/>
            <w:vAlign w:val="top"/>
            <w:tcMar>
              <w:top w:w="80" w:type="dxa"/>
              <w:start w:w="80" w:type="dxa"/>
              <w:bottom w:w="80" w:type="dxa"/>
              <w:end w:w="80" w:type="dxa"/>
            </w:tcMar>
          </w:tcPr>
          <w:p>
            <w:r>
              <w:rPr>
                <w:rFonts w:ascii="Liberation Sans" w:hAnsi="Liberation Sans"/>
                <w:sz w:val="16"/>
              </w:rPr>
              <w:t>Transparent criteria, term/review, conflict limits.</w:t>
            </w:r>
          </w:p>
        </w:tc>
        <w:tc>
          <w:tcPr>
            <w:tcW w:type="dxa" w:w="2556"/>
            <w:vAlign w:val="top"/>
            <w:tcMar>
              <w:top w:w="80" w:type="dxa"/>
              <w:start w:w="80" w:type="dxa"/>
              <w:bottom w:w="80" w:type="dxa"/>
              <w:end w:w="80" w:type="dxa"/>
            </w:tcMar>
          </w:tcPr>
          <w:p>
            <w:r>
              <w:rPr>
                <w:rFonts w:ascii="Liberation Sans" w:hAnsi="Liberation Sans"/>
                <w:sz w:val="16"/>
              </w:rPr>
              <w:t>Automatic board seat, executive authority, doctrinal veto.</w:t>
            </w:r>
          </w:p>
        </w:tc>
      </w:tr>
    </w:tbl>
    <w:p/>
    <w:p>
      <w:pPr>
        <w:pStyle w:val="Heading1"/>
      </w:pPr>
      <w:r>
        <w:t>9. Epistemic Integrity: Encounter to Doctrine</w:t>
      </w:r>
    </w:p>
    <w:p>
      <w:r>
        <w:t>The Way requires a disciplined grammar for religious knowledge. The purpose is neither to dismiss spiritual experience nor to let intense experience become unreviewable institutional command.</w:t>
      </w:r>
    </w:p>
    <w:p>
      <w:pPr>
        <w:pStyle w:val="Heading2"/>
      </w:pPr>
      <w:r>
        <w:t>Confidence levels</w:t>
      </w:r>
    </w:p>
    <w:p>
      <w:pPr>
        <w:pStyle w:val="ListBullet"/>
      </w:pPr>
      <w:r>
        <w:t>Established - strong and convergent reasons with no serious unresolved contradiction known to the Assembly.</w:t>
      </w:r>
    </w:p>
    <w:p>
      <w:pPr>
        <w:pStyle w:val="ListBullet"/>
      </w:pPr>
      <w:r>
        <w:t>Well-supported - substantial evidence and reasoning, while meaningful questions remain.</w:t>
      </w:r>
    </w:p>
    <w:p>
      <w:pPr>
        <w:pStyle w:val="ListBullet"/>
      </w:pPr>
      <w:r>
        <w:t>Provisional - useful current judgment held openly to revision.</w:t>
      </w:r>
    </w:p>
    <w:p>
      <w:pPr>
        <w:pStyle w:val="ListBullet"/>
      </w:pPr>
      <w:r>
        <w:t>Permitted interpretation - compatible with the Way but not taught as a communal conclusion.</w:t>
      </w:r>
    </w:p>
    <w:p>
      <w:pPr>
        <w:pStyle w:val="ListBullet"/>
      </w:pPr>
      <w:r>
        <w:t>Open question - the Assembly deliberately does not claim a conclusion.</w:t>
      </w:r>
    </w:p>
    <w:p>
      <w:pPr>
        <w:pStyle w:val="ListBullet"/>
      </w:pPr>
      <w:r>
        <w:t>Rejected as harmful or unsupported - may describe claims judged incompatible with evidence, ethics, participant rights, or core commitments; reasons must be stated rather than enforced through stigma.</w:t>
      </w:r>
    </w:p>
    <w:p>
      <w:pPr>
        <w:pStyle w:val="Heading2"/>
      </w:pPr>
      <w:r>
        <w:t>Doctrine adoption record</w:t>
      </w:r>
    </w:p>
    <w:p>
      <w:pPr>
        <w:pStyle w:val="ListBullet"/>
      </w:pPr>
      <w:r>
        <w:t>Every material doctrinal proposal should identify: the proposition; sources; evidence; historical context; competing interpretations; strongest arguments for and against; confidence level; practical consequences; rights impact; dissenting views; decision body; conflicts; vote/consensus record; effective date; and review date.</w:t>
      </w:r>
    </w:p>
    <w:p>
      <w:pPr>
        <w:pStyle w:val="ListBullet"/>
      </w:pPr>
      <w:r>
        <w:t>No revelation claim may override safeguarding, mandatory reporting, ordinary informed consent, financial controls, governing documents, or another adult's healthcare/legal decisions.</w:t>
      </w:r>
    </w:p>
    <w:p>
      <w:pPr>
        <w:pStyle w:val="Heading2"/>
      </w:pPr>
      <w:r>
        <w:t>Dissent</w:t>
      </w:r>
    </w:p>
    <w:p>
      <w:pPr>
        <w:pStyle w:val="ListBullet"/>
      </w:pPr>
      <w:r>
        <w:t>A Companion may disagree with a teaching without being treated as disloyal. Certain offices may require ability to represent particular teachings accurately, but office qualification must not be converted into control over private conscience or ordinary community relationships.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334155"/>
            <w:vAlign w:val="center"/>
            <w:tcMar>
              <w:top w:w="80" w:type="dxa"/>
              <w:start w:w="80" w:type="dxa"/>
              <w:bottom w:w="80" w:type="dxa"/>
              <w:end w:w="80" w:type="dxa"/>
            </w:tcMar>
          </w:tcPr>
          <w:p>
            <w:r>
              <w:rPr>
                <w:b/>
                <w:color w:val="FFFFFF"/>
                <w:sz w:val="17"/>
              </w:rPr>
              <w:t>Level</w:t>
            </w:r>
          </w:p>
        </w:tc>
        <w:tc>
          <w:tcPr>
            <w:tcW w:type="dxa" w:w="2556"/>
            <w:shd w:fill="334155"/>
            <w:vAlign w:val="center"/>
            <w:tcMar>
              <w:top w:w="80" w:type="dxa"/>
              <w:start w:w="80" w:type="dxa"/>
              <w:bottom w:w="80" w:type="dxa"/>
              <w:end w:w="80" w:type="dxa"/>
            </w:tcMar>
          </w:tcPr>
          <w:p>
            <w:r>
              <w:rPr>
                <w:b/>
                <w:color w:val="FFFFFF"/>
                <w:sz w:val="17"/>
              </w:rPr>
              <w:t>Definition</w:t>
            </w:r>
          </w:p>
        </w:tc>
        <w:tc>
          <w:tcPr>
            <w:tcW w:type="dxa" w:w="2556"/>
            <w:shd w:fill="334155"/>
            <w:vAlign w:val="center"/>
            <w:tcMar>
              <w:top w:w="80" w:type="dxa"/>
              <w:start w:w="80" w:type="dxa"/>
              <w:bottom w:w="80" w:type="dxa"/>
              <w:end w:w="80" w:type="dxa"/>
            </w:tcMar>
          </w:tcPr>
          <w:p>
            <w:r>
              <w:rPr>
                <w:b/>
                <w:color w:val="FFFFFF"/>
                <w:sz w:val="17"/>
              </w:rPr>
              <w:t>Typical evidence</w:t>
            </w:r>
          </w:p>
        </w:tc>
        <w:tc>
          <w:tcPr>
            <w:tcW w:type="dxa" w:w="2556"/>
            <w:shd w:fill="334155"/>
            <w:vAlign w:val="center"/>
            <w:tcMar>
              <w:top w:w="80" w:type="dxa"/>
              <w:start w:w="80" w:type="dxa"/>
              <w:bottom w:w="80" w:type="dxa"/>
              <w:end w:w="80" w:type="dxa"/>
            </w:tcMar>
          </w:tcPr>
          <w:p>
            <w:r>
              <w:rPr>
                <w:b/>
                <w:color w:val="FFFFFF"/>
                <w:sz w:val="17"/>
              </w:rPr>
              <w:t>Institutional effect</w:t>
            </w:r>
          </w:p>
        </w:tc>
      </w:tr>
      <w:tr>
        <w:trPr>
          <w:cantSplit/>
        </w:trPr>
        <w:tc>
          <w:tcPr>
            <w:tcW w:type="dxa" w:w="2556"/>
            <w:vAlign w:val="top"/>
            <w:tcMar>
              <w:top w:w="80" w:type="dxa"/>
              <w:start w:w="80" w:type="dxa"/>
              <w:bottom w:w="80" w:type="dxa"/>
              <w:end w:w="80" w:type="dxa"/>
            </w:tcMar>
          </w:tcPr>
          <w:p>
            <w:r>
              <w:rPr>
                <w:rFonts w:ascii="Liberation Sans" w:hAnsi="Liberation Sans"/>
                <w:sz w:val="16"/>
              </w:rPr>
              <w:t>Encounter</w:t>
            </w:r>
          </w:p>
        </w:tc>
        <w:tc>
          <w:tcPr>
            <w:tcW w:type="dxa" w:w="2556"/>
            <w:vAlign w:val="top"/>
            <w:tcMar>
              <w:top w:w="80" w:type="dxa"/>
              <w:start w:w="80" w:type="dxa"/>
              <w:bottom w:w="80" w:type="dxa"/>
              <w:end w:w="80" w:type="dxa"/>
            </w:tcMar>
          </w:tcPr>
          <w:p>
            <w:r>
              <w:rPr>
                <w:rFonts w:ascii="Liberation Sans" w:hAnsi="Liberation Sans"/>
                <w:sz w:val="16"/>
              </w:rPr>
              <w:t>An experience or event interpreted as contact with transcendent reality.</w:t>
            </w:r>
          </w:p>
        </w:tc>
        <w:tc>
          <w:tcPr>
            <w:tcW w:type="dxa" w:w="2556"/>
            <w:vAlign w:val="top"/>
            <w:tcMar>
              <w:top w:w="80" w:type="dxa"/>
              <w:start w:w="80" w:type="dxa"/>
              <w:bottom w:w="80" w:type="dxa"/>
              <w:end w:w="80" w:type="dxa"/>
            </w:tcMar>
          </w:tcPr>
          <w:p>
            <w:r>
              <w:rPr>
                <w:rFonts w:ascii="Liberation Sans" w:hAnsi="Liberation Sans"/>
                <w:sz w:val="16"/>
              </w:rPr>
              <w:t>First-person report, contemporaneous notes, witnesses, context.</w:t>
            </w:r>
          </w:p>
        </w:tc>
        <w:tc>
          <w:tcPr>
            <w:tcW w:type="dxa" w:w="2556"/>
            <w:vAlign w:val="top"/>
            <w:tcMar>
              <w:top w:w="80" w:type="dxa"/>
              <w:start w:w="80" w:type="dxa"/>
              <w:bottom w:w="80" w:type="dxa"/>
              <w:end w:w="80" w:type="dxa"/>
            </w:tcMar>
          </w:tcPr>
          <w:p>
            <w:r>
              <w:rPr>
                <w:rFonts w:ascii="Liberation Sans" w:hAnsi="Liberation Sans"/>
                <w:sz w:val="16"/>
              </w:rPr>
              <w:t>None by itself.</w:t>
            </w:r>
          </w:p>
        </w:tc>
      </w:tr>
      <w:tr>
        <w:trPr>
          <w:cantSplit/>
        </w:trPr>
        <w:tc>
          <w:tcPr>
            <w:tcW w:type="dxa" w:w="2556"/>
            <w:vAlign w:val="top"/>
            <w:tcMar>
              <w:top w:w="80" w:type="dxa"/>
              <w:start w:w="80" w:type="dxa"/>
              <w:bottom w:w="80" w:type="dxa"/>
              <w:end w:w="80" w:type="dxa"/>
            </w:tcMar>
          </w:tcPr>
          <w:p>
            <w:r>
              <w:rPr>
                <w:rFonts w:ascii="Liberation Sans" w:hAnsi="Liberation Sans"/>
                <w:sz w:val="16"/>
              </w:rPr>
              <w:t>Testimony</w:t>
            </w:r>
          </w:p>
        </w:tc>
        <w:tc>
          <w:tcPr>
            <w:tcW w:type="dxa" w:w="2556"/>
            <w:vAlign w:val="top"/>
            <w:tcMar>
              <w:top w:w="80" w:type="dxa"/>
              <w:start w:w="80" w:type="dxa"/>
              <w:bottom w:w="80" w:type="dxa"/>
              <w:end w:w="80" w:type="dxa"/>
            </w:tcMar>
          </w:tcPr>
          <w:p>
            <w:r>
              <w:rPr>
                <w:rFonts w:ascii="Liberation Sans" w:hAnsi="Liberation Sans"/>
                <w:sz w:val="16"/>
              </w:rPr>
              <w:t>An account of an encounter, event, conviction, or practice.</w:t>
            </w:r>
          </w:p>
        </w:tc>
        <w:tc>
          <w:tcPr>
            <w:tcW w:type="dxa" w:w="2556"/>
            <w:vAlign w:val="top"/>
            <w:tcMar>
              <w:top w:w="80" w:type="dxa"/>
              <w:start w:w="80" w:type="dxa"/>
              <w:bottom w:w="80" w:type="dxa"/>
              <w:end w:w="80" w:type="dxa"/>
            </w:tcMar>
          </w:tcPr>
          <w:p>
            <w:r>
              <w:rPr>
                <w:rFonts w:ascii="Liberation Sans" w:hAnsi="Liberation Sans"/>
                <w:sz w:val="16"/>
              </w:rPr>
              <w:t>Oral/written report, text, tradition, record.</w:t>
            </w:r>
          </w:p>
        </w:tc>
        <w:tc>
          <w:tcPr>
            <w:tcW w:type="dxa" w:w="2556"/>
            <w:vAlign w:val="top"/>
            <w:tcMar>
              <w:top w:w="80" w:type="dxa"/>
              <w:start w:w="80" w:type="dxa"/>
              <w:bottom w:w="80" w:type="dxa"/>
              <w:end w:w="80" w:type="dxa"/>
            </w:tcMar>
          </w:tcPr>
          <w:p>
            <w:r>
              <w:rPr>
                <w:rFonts w:ascii="Liberation Sans" w:hAnsi="Liberation Sans"/>
                <w:sz w:val="16"/>
              </w:rPr>
              <w:t>Evidence for consideration.</w:t>
            </w:r>
          </w:p>
        </w:tc>
      </w:tr>
      <w:tr>
        <w:trPr>
          <w:cantSplit/>
        </w:trPr>
        <w:tc>
          <w:tcPr>
            <w:tcW w:type="dxa" w:w="2556"/>
            <w:vAlign w:val="top"/>
            <w:tcMar>
              <w:top w:w="80" w:type="dxa"/>
              <w:start w:w="80" w:type="dxa"/>
              <w:bottom w:w="80" w:type="dxa"/>
              <w:end w:w="80" w:type="dxa"/>
            </w:tcMar>
          </w:tcPr>
          <w:p>
            <w:r>
              <w:rPr>
                <w:rFonts w:ascii="Liberation Sans" w:hAnsi="Liberation Sans"/>
                <w:sz w:val="16"/>
              </w:rPr>
              <w:t>Interpretation</w:t>
            </w:r>
          </w:p>
        </w:tc>
        <w:tc>
          <w:tcPr>
            <w:tcW w:type="dxa" w:w="2556"/>
            <w:vAlign w:val="top"/>
            <w:tcMar>
              <w:top w:w="80" w:type="dxa"/>
              <w:start w:w="80" w:type="dxa"/>
              <w:bottom w:w="80" w:type="dxa"/>
              <w:end w:w="80" w:type="dxa"/>
            </w:tcMar>
          </w:tcPr>
          <w:p>
            <w:r>
              <w:rPr>
                <w:rFonts w:ascii="Liberation Sans" w:hAnsi="Liberation Sans"/>
                <w:sz w:val="16"/>
              </w:rPr>
              <w:t>Human explanation of what the testimony means.</w:t>
            </w:r>
          </w:p>
        </w:tc>
        <w:tc>
          <w:tcPr>
            <w:tcW w:type="dxa" w:w="2556"/>
            <w:vAlign w:val="top"/>
            <w:tcMar>
              <w:top w:w="80" w:type="dxa"/>
              <w:start w:w="80" w:type="dxa"/>
              <w:bottom w:w="80" w:type="dxa"/>
              <w:end w:w="80" w:type="dxa"/>
            </w:tcMar>
          </w:tcPr>
          <w:p>
            <w:r>
              <w:rPr>
                <w:rFonts w:ascii="Liberation Sans" w:hAnsi="Liberation Sans"/>
                <w:sz w:val="16"/>
              </w:rPr>
              <w:t>Reasoning, theology, comparison, historical context.</w:t>
            </w:r>
          </w:p>
        </w:tc>
        <w:tc>
          <w:tcPr>
            <w:tcW w:type="dxa" w:w="2556"/>
            <w:vAlign w:val="top"/>
            <w:tcMar>
              <w:top w:w="80" w:type="dxa"/>
              <w:start w:w="80" w:type="dxa"/>
              <w:bottom w:w="80" w:type="dxa"/>
              <w:end w:w="80" w:type="dxa"/>
            </w:tcMar>
          </w:tcPr>
          <w:p>
            <w:r>
              <w:rPr>
                <w:rFonts w:ascii="Liberation Sans" w:hAnsi="Liberation Sans"/>
                <w:sz w:val="16"/>
              </w:rPr>
              <w:t>Open to competing interpretations.</w:t>
            </w:r>
          </w:p>
        </w:tc>
      </w:tr>
      <w:tr>
        <w:trPr>
          <w:cantSplit/>
        </w:trPr>
        <w:tc>
          <w:tcPr>
            <w:tcW w:type="dxa" w:w="2556"/>
            <w:vAlign w:val="top"/>
            <w:tcMar>
              <w:top w:w="80" w:type="dxa"/>
              <w:start w:w="80" w:type="dxa"/>
              <w:bottom w:w="80" w:type="dxa"/>
              <w:end w:w="80" w:type="dxa"/>
            </w:tcMar>
          </w:tcPr>
          <w:p>
            <w:r>
              <w:rPr>
                <w:rFonts w:ascii="Liberation Sans" w:hAnsi="Liberation Sans"/>
                <w:sz w:val="16"/>
              </w:rPr>
              <w:t>Teaching</w:t>
            </w:r>
          </w:p>
        </w:tc>
        <w:tc>
          <w:tcPr>
            <w:tcW w:type="dxa" w:w="2556"/>
            <w:vAlign w:val="top"/>
            <w:tcMar>
              <w:top w:w="80" w:type="dxa"/>
              <w:start w:w="80" w:type="dxa"/>
              <w:bottom w:w="80" w:type="dxa"/>
              <w:end w:w="80" w:type="dxa"/>
            </w:tcMar>
          </w:tcPr>
          <w:p>
            <w:r>
              <w:rPr>
                <w:rFonts w:ascii="Liberation Sans" w:hAnsi="Liberation Sans"/>
                <w:sz w:val="16"/>
              </w:rPr>
              <w:t>A proposition or practice the Assembly currently teaches.</w:t>
            </w:r>
          </w:p>
        </w:tc>
        <w:tc>
          <w:tcPr>
            <w:tcW w:type="dxa" w:w="2556"/>
            <w:vAlign w:val="top"/>
            <w:tcMar>
              <w:top w:w="80" w:type="dxa"/>
              <w:start w:w="80" w:type="dxa"/>
              <w:bottom w:w="80" w:type="dxa"/>
              <w:end w:w="80" w:type="dxa"/>
            </w:tcMar>
          </w:tcPr>
          <w:p>
            <w:r>
              <w:rPr>
                <w:rFonts w:ascii="Liberation Sans" w:hAnsi="Liberation Sans"/>
                <w:sz w:val="16"/>
              </w:rPr>
              <w:t>Reviewed sources, reasons, communal discernment.</w:t>
            </w:r>
          </w:p>
        </w:tc>
        <w:tc>
          <w:tcPr>
            <w:tcW w:type="dxa" w:w="2556"/>
            <w:vAlign w:val="top"/>
            <w:tcMar>
              <w:top w:w="80" w:type="dxa"/>
              <w:start w:w="80" w:type="dxa"/>
              <w:bottom w:w="80" w:type="dxa"/>
              <w:end w:w="80" w:type="dxa"/>
            </w:tcMar>
          </w:tcPr>
          <w:p>
            <w:r>
              <w:rPr>
                <w:rFonts w:ascii="Liberation Sans" w:hAnsi="Liberation Sans"/>
                <w:sz w:val="16"/>
              </w:rPr>
              <w:t>Guides formation; confidence level stated.</w:t>
            </w:r>
          </w:p>
        </w:tc>
      </w:tr>
      <w:tr>
        <w:trPr>
          <w:cantSplit/>
        </w:trPr>
        <w:tc>
          <w:tcPr>
            <w:tcW w:type="dxa" w:w="2556"/>
            <w:vAlign w:val="top"/>
            <w:tcMar>
              <w:top w:w="80" w:type="dxa"/>
              <w:start w:w="80" w:type="dxa"/>
              <w:bottom w:w="80" w:type="dxa"/>
              <w:end w:w="80" w:type="dxa"/>
            </w:tcMar>
          </w:tcPr>
          <w:p>
            <w:r>
              <w:rPr>
                <w:rFonts w:ascii="Liberation Sans" w:hAnsi="Liberation Sans"/>
                <w:sz w:val="16"/>
              </w:rPr>
              <w:t>Doctrine</w:t>
            </w:r>
          </w:p>
        </w:tc>
        <w:tc>
          <w:tcPr>
            <w:tcW w:type="dxa" w:w="2556"/>
            <w:vAlign w:val="top"/>
            <w:tcMar>
              <w:top w:w="80" w:type="dxa"/>
              <w:start w:w="80" w:type="dxa"/>
              <w:bottom w:w="80" w:type="dxa"/>
              <w:end w:w="80" w:type="dxa"/>
            </w:tcMar>
          </w:tcPr>
          <w:p>
            <w:r>
              <w:rPr>
                <w:rFonts w:ascii="Liberation Sans" w:hAnsi="Liberation Sans"/>
                <w:sz w:val="16"/>
              </w:rPr>
              <w:t>A teaching formally adopted with defined status and implications.</w:t>
            </w:r>
          </w:p>
        </w:tc>
        <w:tc>
          <w:tcPr>
            <w:tcW w:type="dxa" w:w="2556"/>
            <w:vAlign w:val="top"/>
            <w:tcMar>
              <w:top w:w="80" w:type="dxa"/>
              <w:start w:w="80" w:type="dxa"/>
              <w:bottom w:w="80" w:type="dxa"/>
              <w:end w:w="80" w:type="dxa"/>
            </w:tcMar>
          </w:tcPr>
          <w:p>
            <w:r>
              <w:rPr>
                <w:rFonts w:ascii="Liberation Sans" w:hAnsi="Liberation Sans"/>
                <w:sz w:val="16"/>
              </w:rPr>
              <w:t>Formal record, evidence dossier, objections, decision process.</w:t>
            </w:r>
          </w:p>
        </w:tc>
        <w:tc>
          <w:tcPr>
            <w:tcW w:type="dxa" w:w="2556"/>
            <w:vAlign w:val="top"/>
            <w:tcMar>
              <w:top w:w="80" w:type="dxa"/>
              <w:start w:w="80" w:type="dxa"/>
              <w:bottom w:w="80" w:type="dxa"/>
              <w:end w:w="80" w:type="dxa"/>
            </w:tcMar>
          </w:tcPr>
          <w:p>
            <w:r>
              <w:rPr>
                <w:rFonts w:ascii="Liberation Sans" w:hAnsi="Liberation Sans"/>
                <w:sz w:val="16"/>
              </w:rPr>
              <w:t>Greater stability but remains reviewable.</w:t>
            </w:r>
          </w:p>
        </w:tc>
      </w:tr>
    </w:tbl>
    <w:p/>
    <w:p>
      <w:pPr>
        <w:pStyle w:val="Heading1"/>
      </w:pPr>
      <w:r>
        <w:t>10. Transmission, Succession, and the Founder-Exit Test</w:t>
      </w:r>
    </w:p>
    <w:p>
      <w:r>
        <w:t>A religion becomes transgenerational when knowledge, practice, community, and accountability can survive the departure of its founder and first generation. Succession is therefore a system property rather than the selection of a single heir.</w:t>
      </w:r>
    </w:p>
    <w:p>
      <w:pPr>
        <w:pStyle w:val="Heading2"/>
      </w:pPr>
      <w:r>
        <w:t>What must be transmitted</w:t>
      </w:r>
    </w:p>
    <w:p>
      <w:pPr>
        <w:pStyle w:val="ListBullet"/>
      </w:pPr>
      <w:r>
        <w:t>The native lexicon; primary source archive; adopted teachings and confidence levels; practices; gathering patterns; safeguarding and integrity rules; governance boundaries; formation curriculum; historical record; financial stewardship norms; complaint and investigation mechanisms; translation guidance; and the documented history of doctrinal revision.</w:t>
      </w:r>
    </w:p>
    <w:p>
      <w:pPr>
        <w:pStyle w:val="Heading2"/>
      </w:pPr>
      <w:r>
        <w:t>Founder-exit test</w:t>
      </w:r>
    </w:p>
    <w:p>
      <w:pPr>
        <w:pStyle w:val="ListBullet"/>
      </w:pPr>
      <w:r>
        <w:t>The founder should be able to die, resign, retire, become incapacitated, or disagree with the institution without causing constitutional collapse.</w:t>
      </w:r>
    </w:p>
    <w:p>
      <w:pPr>
        <w:pStyle w:val="ListBullet"/>
      </w:pPr>
      <w:r>
        <w:t>No person should inherit founder status. Executive, teaching, spiritual, corporate, financial, and safeguarding responsibilities should pass through separate lawful processes.</w:t>
      </w:r>
    </w:p>
    <w:p>
      <w:pPr>
        <w:pStyle w:val="ListBullet"/>
      </w:pPr>
      <w:r>
        <w:t>The founder's writings remain sources to be studied and criticized, not commands merely because of authorship.</w:t>
      </w:r>
    </w:p>
    <w:p>
      <w:pPr>
        <w:pStyle w:val="ListBullet"/>
      </w:pPr>
      <w:r>
        <w:t>The institution should periodically run a tabletop scenario in which the founder is unavailable for twelve months. Any essential function that cannot continue becomes a remediation item.</w:t>
      </w:r>
    </w:p>
    <w:p>
      <w:pPr>
        <w:pStyle w:val="Heading2"/>
      </w:pPr>
      <w:r>
        <w:t>Closure as fidelity</w:t>
      </w:r>
    </w:p>
    <w:p>
      <w:pPr>
        <w:pStyle w:val="ListBullet"/>
      </w:pPr>
      <w:r>
        <w:t>A House of Prayer, program, council, or even corporation may close when it no longer serves its purpose. Institutional survival is not the highest religious good. Dissolution should protect people, honor donor restrictions and law, preserve appropriate archives, and transfer charitable assets according to governing documents.</w:t>
      </w:r>
    </w:p>
    <w:p>
      <w:pPr>
        <w:pStyle w:val="Heading1"/>
      </w:pPr>
      <w:r>
        <w:t>11. The Human Lifecycle in One View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334155"/>
            <w:vAlign w:val="center"/>
            <w:tcMar>
              <w:top w:w="80" w:type="dxa"/>
              <w:start w:w="80" w:type="dxa"/>
              <w:bottom w:w="80" w:type="dxa"/>
              <w:end w:w="80" w:type="dxa"/>
            </w:tcMar>
          </w:tcPr>
          <w:p>
            <w:r>
              <w:rPr>
                <w:b/>
                <w:color w:val="FFFFFF"/>
                <w:sz w:val="17"/>
              </w:rPr>
              <w:t>Question</w:t>
            </w:r>
          </w:p>
        </w:tc>
        <w:tc>
          <w:tcPr>
            <w:tcW w:type="dxa" w:w="5112"/>
            <w:shd w:fill="334155"/>
            <w:vAlign w:val="center"/>
            <w:tcMar>
              <w:top w:w="80" w:type="dxa"/>
              <w:start w:w="80" w:type="dxa"/>
              <w:bottom w:w="80" w:type="dxa"/>
              <w:end w:w="80" w:type="dxa"/>
            </w:tcMar>
          </w:tcPr>
          <w:p>
            <w:r>
              <w:rPr>
                <w:b/>
                <w:color w:val="FFFFFF"/>
                <w:sz w:val="17"/>
              </w:rPr>
              <w:t>Answer</w:t>
            </w:r>
          </w:p>
        </w:tc>
      </w:tr>
      <w:tr>
        <w:trPr>
          <w:cantSplit/>
        </w:trPr>
        <w:tc>
          <w:tcPr>
            <w:tcW w:type="dxa" w:w="5112"/>
            <w:vAlign w:val="top"/>
            <w:tcMar>
              <w:top w:w="80" w:type="dxa"/>
              <w:start w:w="80" w:type="dxa"/>
              <w:bottom w:w="80" w:type="dxa"/>
              <w:end w:w="80" w:type="dxa"/>
            </w:tcMar>
          </w:tcPr>
          <w:p>
            <w:r>
              <w:rPr>
                <w:rFonts w:ascii="Liberation Sans" w:hAnsi="Liberation Sans"/>
                <w:sz w:val="16"/>
              </w:rPr>
              <w:t>How does it begin?</w:t>
            </w:r>
          </w:p>
        </w:tc>
        <w:tc>
          <w:tcPr>
            <w:tcW w:type="dxa" w:w="5112"/>
            <w:vAlign w:val="top"/>
            <w:tcMar>
              <w:top w:w="80" w:type="dxa"/>
              <w:start w:w="80" w:type="dxa"/>
              <w:bottom w:w="80" w:type="dxa"/>
              <w:end w:w="80" w:type="dxa"/>
            </w:tcMar>
          </w:tcPr>
          <w:p>
            <w:r>
              <w:rPr>
                <w:rFonts w:ascii="Liberation Sans" w:hAnsi="Liberation Sans"/>
                <w:sz w:val="16"/>
              </w:rPr>
              <w:t>A person seeks; encounters the Way; participates without obligation; and may freely become a Companion.</w:t>
            </w:r>
          </w:p>
        </w:tc>
      </w:tr>
      <w:tr>
        <w:trPr>
          <w:cantSplit/>
        </w:trPr>
        <w:tc>
          <w:tcPr>
            <w:tcW w:type="dxa" w:w="5112"/>
            <w:vAlign w:val="top"/>
            <w:tcMar>
              <w:top w:w="80" w:type="dxa"/>
              <w:start w:w="80" w:type="dxa"/>
              <w:bottom w:w="80" w:type="dxa"/>
              <w:end w:w="80" w:type="dxa"/>
            </w:tcMar>
          </w:tcPr>
          <w:p>
            <w:r>
              <w:rPr>
                <w:rFonts w:ascii="Liberation Sans" w:hAnsi="Liberation Sans"/>
                <w:sz w:val="16"/>
              </w:rPr>
              <w:t>What is belonging?</w:t>
            </w:r>
          </w:p>
        </w:tc>
        <w:tc>
          <w:tcPr>
            <w:tcW w:type="dxa" w:w="5112"/>
            <w:vAlign w:val="top"/>
            <w:tcMar>
              <w:top w:w="80" w:type="dxa"/>
              <w:start w:w="80" w:type="dxa"/>
              <w:bottom w:w="80" w:type="dxa"/>
              <w:end w:w="80" w:type="dxa"/>
            </w:tcMar>
          </w:tcPr>
          <w:p>
            <w:r>
              <w:rPr>
                <w:rFonts w:ascii="Liberation Sans" w:hAnsi="Liberation Sans"/>
                <w:sz w:val="16"/>
              </w:rPr>
              <w:t>Walking the Way with others, not submission to a person or corporation.</w:t>
            </w:r>
          </w:p>
        </w:tc>
      </w:tr>
      <w:tr>
        <w:trPr>
          <w:cantSplit/>
        </w:trPr>
        <w:tc>
          <w:tcPr>
            <w:tcW w:type="dxa" w:w="5112"/>
            <w:vAlign w:val="top"/>
            <w:tcMar>
              <w:top w:w="80" w:type="dxa"/>
              <w:start w:w="80" w:type="dxa"/>
              <w:bottom w:w="80" w:type="dxa"/>
              <w:end w:w="80" w:type="dxa"/>
            </w:tcMar>
          </w:tcPr>
          <w:p>
            <w:r>
              <w:rPr>
                <w:rFonts w:ascii="Liberation Sans" w:hAnsi="Liberation Sans"/>
                <w:sz w:val="16"/>
              </w:rPr>
              <w:t>What is maturity?</w:t>
            </w:r>
          </w:p>
        </w:tc>
        <w:tc>
          <w:tcPr>
            <w:tcW w:type="dxa" w:w="5112"/>
            <w:vAlign w:val="top"/>
            <w:tcMar>
              <w:top w:w="80" w:type="dxa"/>
              <w:start w:w="80" w:type="dxa"/>
              <w:bottom w:w="80" w:type="dxa"/>
              <w:end w:w="80" w:type="dxa"/>
            </w:tcMar>
          </w:tcPr>
          <w:p>
            <w:r>
              <w:rPr>
                <w:rFonts w:ascii="Liberation Sans" w:hAnsi="Liberation Sans"/>
                <w:sz w:val="16"/>
              </w:rPr>
              <w:t>Growing in truthfulness, compassion, discernment, service, judgment, and teachability.</w:t>
            </w:r>
          </w:p>
        </w:tc>
      </w:tr>
      <w:tr>
        <w:trPr>
          <w:cantSplit/>
        </w:trPr>
        <w:tc>
          <w:tcPr>
            <w:tcW w:type="dxa" w:w="5112"/>
            <w:vAlign w:val="top"/>
            <w:tcMar>
              <w:top w:w="80" w:type="dxa"/>
              <w:start w:w="80" w:type="dxa"/>
              <w:bottom w:w="80" w:type="dxa"/>
              <w:end w:w="80" w:type="dxa"/>
            </w:tcMar>
          </w:tcPr>
          <w:p>
            <w:r>
              <w:rPr>
                <w:rFonts w:ascii="Liberation Sans" w:hAnsi="Liberation Sans"/>
                <w:sz w:val="16"/>
              </w:rPr>
              <w:t>What is ministry?</w:t>
            </w:r>
          </w:p>
        </w:tc>
        <w:tc>
          <w:tcPr>
            <w:tcW w:type="dxa" w:w="5112"/>
            <w:vAlign w:val="top"/>
            <w:tcMar>
              <w:top w:w="80" w:type="dxa"/>
              <w:start w:w="80" w:type="dxa"/>
              <w:bottom w:w="80" w:type="dxa"/>
              <w:end w:w="80" w:type="dxa"/>
            </w:tcMar>
          </w:tcPr>
          <w:p>
            <w:r>
              <w:rPr>
                <w:rFonts w:ascii="Liberation Sans" w:hAnsi="Liberation Sans"/>
                <w:sz w:val="16"/>
              </w:rPr>
              <w:t>Defined service entrusted through commissioning, training, supervision, and accountability.</w:t>
            </w:r>
          </w:p>
        </w:tc>
      </w:tr>
      <w:tr>
        <w:trPr>
          <w:cantSplit/>
        </w:trPr>
        <w:tc>
          <w:tcPr>
            <w:tcW w:type="dxa" w:w="5112"/>
            <w:vAlign w:val="top"/>
            <w:tcMar>
              <w:top w:w="80" w:type="dxa"/>
              <w:start w:w="80" w:type="dxa"/>
              <w:bottom w:w="80" w:type="dxa"/>
              <w:end w:w="80" w:type="dxa"/>
            </w:tcMar>
          </w:tcPr>
          <w:p>
            <w:r>
              <w:rPr>
                <w:rFonts w:ascii="Liberation Sans" w:hAnsi="Liberation Sans"/>
                <w:sz w:val="16"/>
              </w:rPr>
              <w:t>What is community?</w:t>
            </w:r>
          </w:p>
        </w:tc>
        <w:tc>
          <w:tcPr>
            <w:tcW w:type="dxa" w:w="5112"/>
            <w:vAlign w:val="top"/>
            <w:tcMar>
              <w:top w:w="80" w:type="dxa"/>
              <w:start w:w="80" w:type="dxa"/>
              <w:bottom w:w="80" w:type="dxa"/>
              <w:end w:w="80" w:type="dxa"/>
            </w:tcMar>
          </w:tcPr>
          <w:p>
            <w:r>
              <w:rPr>
                <w:rFonts w:ascii="Liberation Sans" w:hAnsi="Liberation Sans"/>
                <w:sz w:val="16"/>
              </w:rPr>
              <w:t>Companions and participants gathered as the Assembly, locally embodied in Houses of Prayer.</w:t>
            </w:r>
          </w:p>
        </w:tc>
      </w:tr>
      <w:tr>
        <w:trPr>
          <w:cantSplit/>
        </w:trPr>
        <w:tc>
          <w:tcPr>
            <w:tcW w:type="dxa" w:w="5112"/>
            <w:vAlign w:val="top"/>
            <w:tcMar>
              <w:top w:w="80" w:type="dxa"/>
              <w:start w:w="80" w:type="dxa"/>
              <w:bottom w:w="80" w:type="dxa"/>
              <w:end w:w="80" w:type="dxa"/>
            </w:tcMar>
          </w:tcPr>
          <w:p>
            <w:r>
              <w:rPr>
                <w:rFonts w:ascii="Liberation Sans" w:hAnsi="Liberation Sans"/>
                <w:sz w:val="16"/>
              </w:rPr>
              <w:t>What is doctrine?</w:t>
            </w:r>
          </w:p>
        </w:tc>
        <w:tc>
          <w:tcPr>
            <w:tcW w:type="dxa" w:w="5112"/>
            <w:vAlign w:val="top"/>
            <w:tcMar>
              <w:top w:w="80" w:type="dxa"/>
              <w:start w:w="80" w:type="dxa"/>
              <w:bottom w:w="80" w:type="dxa"/>
              <w:end w:w="80" w:type="dxa"/>
            </w:tcMar>
          </w:tcPr>
          <w:p>
            <w:r>
              <w:rPr>
                <w:rFonts w:ascii="Liberation Sans" w:hAnsi="Liberation Sans"/>
                <w:sz w:val="16"/>
              </w:rPr>
              <w:t>A formally adopted teaching supported by recorded reasons, evidence, dissent, and review.</w:t>
            </w:r>
          </w:p>
        </w:tc>
      </w:tr>
      <w:tr>
        <w:trPr>
          <w:cantSplit/>
        </w:trPr>
        <w:tc>
          <w:tcPr>
            <w:tcW w:type="dxa" w:w="5112"/>
            <w:vAlign w:val="top"/>
            <w:tcMar>
              <w:top w:w="80" w:type="dxa"/>
              <w:start w:w="80" w:type="dxa"/>
              <w:bottom w:w="80" w:type="dxa"/>
              <w:end w:w="80" w:type="dxa"/>
            </w:tcMar>
          </w:tcPr>
          <w:p>
            <w:r>
              <w:rPr>
                <w:rFonts w:ascii="Liberation Sans" w:hAnsi="Liberation Sans"/>
                <w:sz w:val="16"/>
              </w:rPr>
              <w:t>What is succession?</w:t>
            </w:r>
          </w:p>
        </w:tc>
        <w:tc>
          <w:tcPr>
            <w:tcW w:type="dxa" w:w="5112"/>
            <w:vAlign w:val="top"/>
            <w:tcMar>
              <w:top w:w="80" w:type="dxa"/>
              <w:start w:w="80" w:type="dxa"/>
              <w:bottom w:w="80" w:type="dxa"/>
              <w:end w:w="80" w:type="dxa"/>
            </w:tcMar>
          </w:tcPr>
          <w:p>
            <w:r>
              <w:rPr>
                <w:rFonts w:ascii="Liberation Sans" w:hAnsi="Liberation Sans"/>
                <w:sz w:val="16"/>
              </w:rPr>
              <w:t>Transmission of a system, not enthronement of an heir.</w:t>
            </w:r>
          </w:p>
        </w:tc>
      </w:tr>
      <w:tr>
        <w:trPr>
          <w:cantSplit/>
        </w:trPr>
        <w:tc>
          <w:tcPr>
            <w:tcW w:type="dxa" w:w="5112"/>
            <w:vAlign w:val="top"/>
            <w:tcMar>
              <w:top w:w="80" w:type="dxa"/>
              <w:start w:w="80" w:type="dxa"/>
              <w:bottom w:w="80" w:type="dxa"/>
              <w:end w:w="80" w:type="dxa"/>
            </w:tcMar>
          </w:tcPr>
          <w:p>
            <w:r>
              <w:rPr>
                <w:rFonts w:ascii="Liberation Sans" w:hAnsi="Liberation Sans"/>
                <w:sz w:val="16"/>
              </w:rPr>
              <w:t>What is leaving?</w:t>
            </w:r>
          </w:p>
        </w:tc>
        <w:tc>
          <w:tcPr>
            <w:tcW w:type="dxa" w:w="5112"/>
            <w:vAlign w:val="top"/>
            <w:tcMar>
              <w:top w:w="80" w:type="dxa"/>
              <w:start w:w="80" w:type="dxa"/>
              <w:bottom w:w="80" w:type="dxa"/>
              <w:end w:w="80" w:type="dxa"/>
            </w:tcMar>
          </w:tcPr>
          <w:p>
            <w:r>
              <w:rPr>
                <w:rFonts w:ascii="Liberation Sans" w:hAnsi="Liberation Sans"/>
                <w:sz w:val="16"/>
              </w:rPr>
              <w:t>A protected, ordinary exercise of conscience that requires no permission.</w:t>
            </w:r>
          </w:p>
        </w:tc>
      </w:tr>
      <w:tr>
        <w:trPr>
          <w:cantSplit/>
        </w:trPr>
        <w:tc>
          <w:tcPr>
            <w:tcW w:type="dxa" w:w="5112"/>
            <w:vAlign w:val="top"/>
            <w:tcMar>
              <w:top w:w="80" w:type="dxa"/>
              <w:start w:w="80" w:type="dxa"/>
              <w:bottom w:w="80" w:type="dxa"/>
              <w:end w:w="80" w:type="dxa"/>
            </w:tcMar>
          </w:tcPr>
          <w:p>
            <w:r>
              <w:rPr>
                <w:rFonts w:ascii="Liberation Sans" w:hAnsi="Liberation Sans"/>
                <w:sz w:val="16"/>
              </w:rPr>
              <w:t>What is the institution for?</w:t>
            </w:r>
          </w:p>
        </w:tc>
        <w:tc>
          <w:tcPr>
            <w:tcW w:type="dxa" w:w="5112"/>
            <w:vAlign w:val="top"/>
            <w:tcMar>
              <w:top w:w="80" w:type="dxa"/>
              <w:start w:w="80" w:type="dxa"/>
              <w:bottom w:w="80" w:type="dxa"/>
              <w:end w:w="80" w:type="dxa"/>
            </w:tcMar>
          </w:tcPr>
          <w:p>
            <w:r>
              <w:rPr>
                <w:rFonts w:ascii="Liberation Sans" w:hAnsi="Liberation Sans"/>
                <w:sz w:val="16"/>
              </w:rPr>
              <w:t>To serve, protect, coordinate, and transmit the Way.</w:t>
            </w:r>
          </w:p>
        </w:tc>
      </w:tr>
      <w:tr>
        <w:trPr>
          <w:cantSplit/>
        </w:trPr>
        <w:tc>
          <w:tcPr>
            <w:tcW w:type="dxa" w:w="5112"/>
            <w:vAlign w:val="top"/>
            <w:tcMar>
              <w:top w:w="80" w:type="dxa"/>
              <w:start w:w="80" w:type="dxa"/>
              <w:bottom w:w="80" w:type="dxa"/>
              <w:end w:w="80" w:type="dxa"/>
            </w:tcMar>
          </w:tcPr>
          <w:p>
            <w:r>
              <w:rPr>
                <w:rFonts w:ascii="Liberation Sans" w:hAnsi="Liberation Sans"/>
                <w:sz w:val="16"/>
              </w:rPr>
              <w:t>What is the institution not for?</w:t>
            </w:r>
          </w:p>
        </w:tc>
        <w:tc>
          <w:tcPr>
            <w:tcW w:type="dxa" w:w="5112"/>
            <w:vAlign w:val="top"/>
            <w:tcMar>
              <w:top w:w="80" w:type="dxa"/>
              <w:start w:w="80" w:type="dxa"/>
              <w:bottom w:w="80" w:type="dxa"/>
              <w:end w:w="80" w:type="dxa"/>
            </w:tcMar>
          </w:tcPr>
          <w:p>
            <w:r>
              <w:rPr>
                <w:rFonts w:ascii="Liberation Sans" w:hAnsi="Liberation Sans"/>
                <w:sz w:val="16"/>
              </w:rPr>
              <w:t>To replace conscience, own people, manufacture truth, or preserve itself at any cost.</w:t>
            </w:r>
          </w:p>
        </w:tc>
      </w:tr>
    </w:tbl>
    <w:p/>
    <w:p>
      <w:pPr>
        <w:pStyle w:val="Heading1"/>
      </w:pPr>
      <w:r>
        <w:t>12. v0.6 Implementation Sequence</w:t>
      </w:r>
    </w:p>
    <w:p>
      <w:r>
        <w:t>This architecture should be piloted before being constitutionalized in every detail. The first generation should learn from actual gatherings while preserving the non-negotiable anti-coercion safeguards.</w:t>
      </w:r>
    </w:p>
    <w:p>
      <w:pPr>
        <w:pStyle w:val="Heading2"/>
      </w:pPr>
      <w:r>
        <w:t>Stage A - Formation before public Companion enrollment</w:t>
      </w:r>
    </w:p>
    <w:p>
      <w:pPr>
        <w:pStyle w:val="ListBullet"/>
      </w:pPr>
      <w:r>
        <w:t>Approve the Companion rights statement and Commitment text as provisional.</w:t>
      </w:r>
    </w:p>
    <w:p>
      <w:pPr>
        <w:pStyle w:val="ListBullet"/>
      </w:pPr>
      <w:r>
        <w:t>Define public participant versus Companion terminology.</w:t>
      </w:r>
    </w:p>
    <w:p>
      <w:pPr>
        <w:pStyle w:val="ListBullet"/>
      </w:pPr>
      <w:r>
        <w:t>Prepare a basic Gathering for Prayer and Gathering for Study pilot pattern.</w:t>
      </w:r>
    </w:p>
    <w:p>
      <w:pPr>
        <w:pStyle w:val="ListBullet"/>
      </w:pPr>
      <w:r>
        <w:t>Train founding leaders in complaint, safeguarding, boundaries, and epistemic distinctions.</w:t>
      </w:r>
    </w:p>
    <w:p>
      <w:pPr>
        <w:pStyle w:val="Heading2"/>
      </w:pPr>
      <w:r>
        <w:t>Stage B - First recurring community</w:t>
      </w:r>
    </w:p>
    <w:p>
      <w:pPr>
        <w:pStyle w:val="ListBullet"/>
      </w:pPr>
      <w:r>
        <w:t>Operate as a Gathering Circle before claiming House of Prayer status.</w:t>
      </w:r>
    </w:p>
    <w:p>
      <w:pPr>
        <w:pStyle w:val="ListBullet"/>
      </w:pPr>
      <w:r>
        <w:t>Pilot prayer, study, fellowship, service, and discernment formats.</w:t>
      </w:r>
    </w:p>
    <w:p>
      <w:pPr>
        <w:pStyle w:val="ListBullet"/>
      </w:pPr>
      <w:r>
        <w:t>Collect voluntary feedback, including anonymous feedback.</w:t>
      </w:r>
    </w:p>
    <w:p>
      <w:pPr>
        <w:pStyle w:val="ListBullet"/>
      </w:pPr>
      <w:r>
        <w:t>Track whether people understand that participation and Companion identity are voluntary.</w:t>
      </w:r>
    </w:p>
    <w:p>
      <w:pPr>
        <w:pStyle w:val="Heading2"/>
      </w:pPr>
      <w:r>
        <w:t>Stage C - First House-in-Formation</w:t>
      </w:r>
    </w:p>
    <w:p>
      <w:pPr>
        <w:pStyle w:val="ListBullet"/>
      </w:pPr>
      <w:r>
        <w:t>Appoint a House Steward and independent safeguarding contact.</w:t>
      </w:r>
    </w:p>
    <w:p>
      <w:pPr>
        <w:pStyle w:val="ListBullet"/>
      </w:pPr>
      <w:r>
        <w:t>Adopt the House recognition instrument.</w:t>
      </w:r>
    </w:p>
    <w:p>
      <w:pPr>
        <w:pStyle w:val="ListBullet"/>
      </w:pPr>
      <w:r>
        <w:t>Establish a simple budget/financial interface and records process.</w:t>
      </w:r>
    </w:p>
    <w:p>
      <w:pPr>
        <w:pStyle w:val="ListBullet"/>
      </w:pPr>
      <w:r>
        <w:t>Commission only those roles actually needed.</w:t>
      </w:r>
    </w:p>
    <w:p>
      <w:pPr>
        <w:pStyle w:val="ListBullet"/>
      </w:pPr>
      <w:r>
        <w:t>Run founder-complaint and leader-misconduct tabletop exercises.</w:t>
      </w:r>
    </w:p>
    <w:p>
      <w:pPr>
        <w:pStyle w:val="Heading2"/>
      </w:pPr>
      <w:r>
        <w:t>Stage D - Recognized House of Prayer</w:t>
      </w:r>
    </w:p>
    <w:p>
      <w:pPr>
        <w:pStyle w:val="ListBullet"/>
      </w:pPr>
      <w:r>
        <w:t>Recognize only after sustained community life demonstrates the minimum functions.</w:t>
      </w:r>
    </w:p>
    <w:p>
      <w:pPr>
        <w:pStyle w:val="ListBullet"/>
      </w:pPr>
      <w:r>
        <w:t>Publish local leadership, complaint routes, safeguarding information, gathering schedule, and the rights of participants.</w:t>
      </w:r>
    </w:p>
    <w:p>
      <w:pPr>
        <w:pStyle w:val="ListBullet"/>
      </w:pPr>
      <w:r>
        <w:t>Complete annual health review and renewal.</w:t>
      </w:r>
    </w:p>
    <w:p>
      <w:pPr>
        <w:pStyle w:val="Heading2"/>
      </w:pPr>
      <w:r>
        <w:t>Stage E - Multi-House network</w:t>
      </w:r>
    </w:p>
    <w:p>
      <w:pPr>
        <w:pStyle w:val="ListBullet"/>
      </w:pPr>
      <w:r>
        <w:t>Only after more than one mature House exists should the Assembly consider a Council of Houses, regional coordination, inter-House credential portability, or common property structures.</w:t>
      </w:r>
    </w:p>
    <w:p>
      <w:pPr>
        <w:pStyle w:val="Heading1"/>
      </w:pPr>
      <w:r>
        <w:t>Appendix A. Non-negotiable design rules</w:t>
      </w:r>
    </w:p>
    <w:p>
      <w:pPr>
        <w:pStyle w:val="ListBullet"/>
      </w:pPr>
      <w:r>
        <w:t>No person is required to become a Companion, remain a Companion, take office, donate, live communally, work for the institution, or accept a leader's private spiritual direction.</w:t>
      </w:r>
    </w:p>
    <w:p>
      <w:pPr>
        <w:pStyle w:val="ListBullet"/>
      </w:pPr>
      <w:r>
        <w:t>Companion identity is not statutory corporate membership unless a future charter/bylaw amendment explicitly creates that legal status.</w:t>
      </w:r>
    </w:p>
    <w:p>
      <w:pPr>
        <w:pStyle w:val="ListBullet"/>
      </w:pPr>
      <w:r>
        <w:t>The Assembly is not the Board. Houses of Prayer are not automatically separate legal entities. Spiritual titles do not silently enlarge civil authority.</w:t>
      </w:r>
    </w:p>
    <w:p>
      <w:pPr>
        <w:pStyle w:val="ListBullet"/>
      </w:pPr>
      <w:r>
        <w:t>Founder status is historical only. No founder-heir exists.</w:t>
      </w:r>
    </w:p>
    <w:p>
      <w:pPr>
        <w:pStyle w:val="ListBullet"/>
      </w:pPr>
      <w:r>
        <w:t>Ministry is commissioned for defined functions and remains reviewable, supervised, and removable through due process.</w:t>
      </w:r>
    </w:p>
    <w:p>
      <w:pPr>
        <w:pStyle w:val="ListBullet"/>
      </w:pPr>
      <w:r>
        <w:t>Claimed revelation is always distinguishable from testimony, interpretation, teaching, doctrine, and governance authority.</w:t>
      </w:r>
    </w:p>
    <w:p>
      <w:pPr>
        <w:pStyle w:val="ListBullet"/>
      </w:pPr>
      <w:r>
        <w:t>Safeguarding, lawful reporting, informed consent, financial controls, complaint independence, and exit rights cannot be overridden by spiritual claims.</w:t>
      </w:r>
    </w:p>
    <w:p>
      <w:pPr>
        <w:pStyle w:val="ListBullet"/>
      </w:pPr>
      <w:r>
        <w:t>Correction is compatible with fidelity. Doctrine can mature; evidence can require revision; open questions may remain open.</w:t>
      </w:r>
    </w:p>
    <w:p>
      <w:pPr>
        <w:pStyle w:val="ListBullet"/>
      </w:pPr>
      <w:r>
        <w:t>The maturity test is whether the Way can flourish without dependency on a charismatic founder or single institution.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itleSmall"/>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itleSmall"/>
    </w:pPr>
    <w:r>
      <w:t>UNDECIDED | The Way | Community Architecture v0.6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Liberation Sans" w:hAnsi="Liberation Sans"/>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rPr>
      <w:rFonts w:ascii="Liberation Sans" w:hAnsi="Liberation Sans"/>
      <w:color w:val="475569"/>
      <w:sz w:val="20"/>
    </w:rPr>
  </w:style>
  <w:style w:type="paragraph" w:customStyle="1" w:styleId="Callout">
    <w:name w:val="Callout"/>
    <w:pPr>
      <w:spacing w:before="120" w:after="120"/>
      <w:ind w:left="259" w:right="259"/>
    </w:pPr>
    <w:rPr>
      <w:rFonts w:ascii="Liberation Sans" w:hAnsi="Liberation Sans"/>
      <w:b/>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