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Governance Procedure Code</w:t>
      </w:r>
    </w:p>
    <w:p>
      <w:pPr>
        <w:jc w:val="center"/>
      </w:pPr>
      <w:r>
        <w:rPr>
          <w:b/>
          <w:sz w:val="26"/>
        </w:rPr>
        <w:t>[[CORP_NAME]]</w:t>
      </w:r>
    </w:p>
    <w:tbl>
      <w:tblPr>
        <w:tblStyle w:val="TableGrid"/>
        <w:tblW w:type="auto" w:w="0"/>
        <w:jc w:val="center"/>
        <w:tblLook w:firstColumn="1" w:firstRow="1" w:lastColumn="0" w:lastRow="0" w:noHBand="0" w:noVBand="1" w:val="04A0"/>
      </w:tblPr>
      <w:tblGrid>
        <w:gridCol w:w="5040"/>
        <w:gridCol w:w="5040"/>
      </w:tblGrid>
      <w:tr>
        <w:tc>
          <w:tcPr>
            <w:tcW w:type="dxa" w:w="5040"/>
            <w:shd w:fill="E5E7EB"/>
          </w:tcPr>
          <w:p>
            <w:r>
              <w:t>Document ID</w:t>
            </w:r>
          </w:p>
        </w:tc>
        <w:tc>
          <w:tcPr>
            <w:tcW w:type="dxa" w:w="5040"/>
          </w:tcPr>
          <w:p>
            <w:r>
              <w:t>GOV-PROC-001</w:t>
            </w:r>
          </w:p>
        </w:tc>
      </w:tr>
      <w:tr>
        <w:tc>
          <w:tcPr>
            <w:tcW w:type="dxa" w:w="5040"/>
            <w:shd w:fill="E5E7EB"/>
          </w:tcPr>
          <w:p>
            <w:r>
              <w:t>Version</w:t>
            </w:r>
          </w:p>
        </w:tc>
        <w:tc>
          <w:tcPr>
            <w:tcW w:type="dxa" w:w="5040"/>
          </w:tcPr>
          <w:p>
            <w:r>
              <w:t>0.1.0</w:t>
            </w:r>
          </w:p>
        </w:tc>
      </w:tr>
      <w:tr>
        <w:tc>
          <w:tcPr>
            <w:tcW w:type="dxa" w:w="5040"/>
            <w:shd w:fill="E5E7EB"/>
          </w:tcPr>
          <w:p>
            <w:r>
              <w:t>Status</w:t>
            </w:r>
          </w:p>
        </w:tc>
        <w:tc>
          <w:tcPr>
            <w:tcW w:type="dxa" w:w="5040"/>
          </w:tcPr>
          <w:p>
            <w:r>
              <w:t>Provisional Constitutional Draft</w:t>
            </w:r>
          </w:p>
        </w:tc>
      </w:tr>
      <w:tr>
        <w:tc>
          <w:tcPr>
            <w:tcW w:type="dxa" w:w="5040"/>
            <w:shd w:fill="E5E7EB"/>
          </w:tcPr>
          <w:p>
            <w:r>
              <w:t>Classification</w:t>
            </w:r>
          </w:p>
        </w:tc>
        <w:tc>
          <w:tcPr>
            <w:tcW w:type="dxa" w:w="5040"/>
          </w:tcPr>
          <w:p>
            <w:r>
              <w:t>Ecclesiastical and Concurrent Governance Procedure Code</w:t>
            </w:r>
          </w:p>
        </w:tc>
      </w:tr>
      <w:tr>
        <w:tc>
          <w:tcPr>
            <w:tcW w:type="dxa" w:w="5040"/>
            <w:shd w:fill="E5E7EB"/>
          </w:tcPr>
          <w:p>
            <w:r>
              <w:t>Parent</w:t>
            </w:r>
          </w:p>
        </w:tc>
        <w:tc>
          <w:tcPr>
            <w:tcW w:type="dxa" w:w="5040"/>
          </w:tcPr>
          <w:p>
            <w:r>
              <w:t>REL-CON-001 / ECC-CON-001</w:t>
            </w:r>
          </w:p>
        </w:tc>
      </w:tr>
      <w:tr>
        <w:tc>
          <w:tcPr>
            <w:tcW w:type="dxa" w:w="5040"/>
            <w:shd w:fill="E5E7EB"/>
          </w:tcPr>
          <w:p>
            <w:r>
              <w:t>Organization</w:t>
            </w:r>
          </w:p>
        </w:tc>
        <w:tc>
          <w:tcPr>
            <w:tcW w:type="dxa" w:w="5040"/>
          </w:tcPr>
          <w:p>
            <w:r>
              <w:t>[[CORP_NAME]]</w:t>
            </w:r>
          </w:p>
        </w:tc>
      </w:tr>
      <w:tr>
        <w:tc>
          <w:tcPr>
            <w:tcW w:type="dxa" w:w="5040"/>
            <w:shd w:fill="E5E7EB"/>
          </w:tcPr>
          <w:p>
            <w:r>
              <w:t>Description</w:t>
            </w:r>
          </w:p>
        </w:tc>
        <w:tc>
          <w:tcPr>
            <w:tcW w:type="dxa" w:w="5040"/>
          </w:tcPr>
          <w:p>
            <w:r>
              <w:t>Uniform procedural rules for meetings, notice, agendas, quorum, deliberation, voting, consent, recusals, records, decision classes, emergencies, appeals, validity, and institutional recovery.</w:t>
            </w:r>
          </w:p>
        </w:tc>
      </w:tr>
    </w:tbl>
    <w:p>
      <w:pPr>
        <w:pStyle w:val="SmallNote"/>
      </w:pPr>
      <w:r>
        <w:t>Drafting notice: This instrument is a governance and ecclesiastical working draft. Bracketed fields require verified facts before adoption. It does not replace advice from qualified Tennessee counsel, tax counsel, safeguarding professionals, or other specialists where applicable.</w:t>
      </w:r>
    </w:p>
    <w:p>
      <w:r>
        <w:br w:type="page"/>
      </w:r>
    </w:p>
    <w:p>
      <w:pPr>
        <w:pStyle w:val="Heading1"/>
      </w:pPr>
      <w:r>
        <w:t>Preamble</w:t>
      </w:r>
    </w:p>
    <w:p>
      <w:r>
        <w:t>Authority without procedure becomes difficult to distinguish from preference. This Code establishes a common procedural language so that major governance acts can be tested for jurisdiction, composition, notice, quorum, conflicts, deliberation, threshold, concurrence, record, and substantive authority.</w:t>
      </w:r>
    </w:p>
    <w:p>
      <w:pPr>
        <w:pStyle w:val="Heading1"/>
      </w:pPr>
      <w:r>
        <w:t>Article I — Applicability</w:t>
      </w:r>
    </w:p>
    <w:p>
      <w:r>
        <w:t>This Code applies to ecclesiastical bodies unless a superior instrument supplies a different rule. Civil corporate bodies remain subject to BYL-001 and applicable law; where civil and ecclesiastical approval are both required, JUR-001 governs the interface.</w:t>
      </w:r>
    </w:p>
    <w:p>
      <w:pPr>
        <w:pStyle w:val="Heading1"/>
      </w:pPr>
      <w:r>
        <w:t>Article II — Decision Classes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Class</w:t>
            </w:r>
          </w:p>
        </w:tc>
        <w:tc>
          <w:tcPr>
            <w:tcW w:type="dxa" w:w="3360"/>
            <w:shd w:fill="D9EAF7"/>
            <w:vAlign w:val="center"/>
          </w:tcPr>
          <w:p>
            <w:r>
              <w:t>Typical Matter</w:t>
            </w:r>
          </w:p>
        </w:tc>
        <w:tc>
          <w:tcPr>
            <w:tcW w:type="dxa" w:w="3360"/>
            <w:shd w:fill="D9EAF7"/>
            <w:vAlign w:val="center"/>
          </w:tcPr>
          <w:p>
            <w:r>
              <w:t>Default Documentation</w:t>
            </w:r>
          </w:p>
        </w:tc>
      </w:tr>
      <w:tr>
        <w:tc>
          <w:tcPr>
            <w:tcW w:type="dxa" w:w="3360"/>
          </w:tcPr>
          <w:p>
            <w:r>
              <w:t>A</w:t>
            </w:r>
          </w:p>
        </w:tc>
        <w:tc>
          <w:tcPr>
            <w:tcW w:type="dxa" w:w="3360"/>
          </w:tcPr>
          <w:p>
            <w:r>
              <w:t>routine administration</w:t>
            </w:r>
          </w:p>
        </w:tc>
        <w:tc>
          <w:tcPr>
            <w:tcW w:type="dxa" w:w="3360"/>
          </w:tcPr>
          <w:p>
            <w:r>
              <w:t>operational record</w:t>
            </w:r>
          </w:p>
        </w:tc>
      </w:tr>
      <w:tr>
        <w:tc>
          <w:tcPr>
            <w:tcW w:type="dxa" w:w="3360"/>
          </w:tcPr>
          <w:p>
            <w:r>
              <w:t>B</w:t>
            </w:r>
          </w:p>
        </w:tc>
        <w:tc>
          <w:tcPr>
            <w:tcW w:type="dxa" w:w="3360"/>
          </w:tcPr>
          <w:p>
            <w:r>
              <w:t>ordinary policy/appointments</w:t>
            </w:r>
          </w:p>
        </w:tc>
        <w:tc>
          <w:tcPr>
            <w:tcW w:type="dxa" w:w="3360"/>
          </w:tcPr>
          <w:p>
            <w:r>
              <w:t>minutes or written decision</w:t>
            </w:r>
          </w:p>
        </w:tc>
      </w:tr>
      <w:tr>
        <w:tc>
          <w:tcPr>
            <w:tcW w:type="dxa" w:w="3360"/>
          </w:tcPr>
          <w:p>
            <w:r>
              <w:t>C</w:t>
            </w:r>
          </w:p>
        </w:tc>
        <w:tc>
          <w:tcPr>
            <w:tcW w:type="dxa" w:w="3360"/>
          </w:tcPr>
          <w:p>
            <w:r>
              <w:t>substantial institutional action</w:t>
            </w:r>
          </w:p>
        </w:tc>
        <w:tc>
          <w:tcPr>
            <w:tcW w:type="dxa" w:w="3360"/>
          </w:tcPr>
          <w:p>
            <w:r>
              <w:t>formal resolution and reasons</w:t>
            </w:r>
          </w:p>
        </w:tc>
      </w:tr>
      <w:tr>
        <w:tc>
          <w:tcPr>
            <w:tcW w:type="dxa" w:w="3360"/>
          </w:tcPr>
          <w:p>
            <w:r>
              <w:t>D</w:t>
            </w:r>
          </w:p>
        </w:tc>
        <w:tc>
          <w:tcPr>
            <w:tcW w:type="dxa" w:w="3360"/>
          </w:tcPr>
          <w:p>
            <w:r>
              <w:t>major doctrine, senior office, major structural action</w:t>
            </w:r>
          </w:p>
        </w:tc>
        <w:tc>
          <w:tcPr>
            <w:tcW w:type="dxa" w:w="3360"/>
          </w:tcPr>
          <w:p>
            <w:r>
              <w:t>enhanced notice, reasons, concurrence where required</w:t>
            </w:r>
          </w:p>
        </w:tc>
      </w:tr>
      <w:tr>
        <w:tc>
          <w:tcPr>
            <w:tcW w:type="dxa" w:w="3360"/>
          </w:tcPr>
          <w:p>
            <w:r>
              <w:t>E</w:t>
            </w:r>
          </w:p>
        </w:tc>
        <w:tc>
          <w:tcPr>
            <w:tcW w:type="dxa" w:w="3360"/>
          </w:tcPr>
          <w:p>
            <w:r>
              <w:t>constitutional amendment, merger, dissolution, refounding</w:t>
            </w:r>
          </w:p>
        </w:tc>
        <w:tc>
          <w:tcPr>
            <w:tcW w:type="dxa" w:w="3360"/>
          </w:tcPr>
          <w:p>
            <w:r>
              <w:t>maximum procedural safeguards and permanent record</w:t>
            </w:r>
          </w:p>
        </w:tc>
      </w:tr>
    </w:tbl>
    <w:p>
      <w:pPr>
        <w:pStyle w:val="Heading1"/>
      </w:pPr>
      <w:r>
        <w:t>Article III — Notice</w:t>
      </w:r>
    </w:p>
    <w:p>
      <w:pPr>
        <w:pStyle w:val="ListBullet"/>
      </w:pPr>
      <w:r>
        <w:t>Notice shall identify the body, date/time, location/method, and material business.</w:t>
      </w:r>
    </w:p>
    <w:p>
      <w:pPr>
        <w:pStyle w:val="ListBullet"/>
      </w:pPr>
      <w:r>
        <w:t>Ordinary business should receive reasonable advance notice.</w:t>
      </w:r>
    </w:p>
    <w:p>
      <w:pPr>
        <w:pStyle w:val="ListBullet"/>
      </w:pPr>
      <w:r>
        <w:t>Class D/E matters should receive the notice period required by the governing instrument; absent a stated period, thirty days is the default goal.</w:t>
      </w:r>
    </w:p>
    <w:p>
      <w:pPr>
        <w:pStyle w:val="ListBullet"/>
      </w:pPr>
      <w:r>
        <w:t>Emergency notice may be shortened only where delay would materially threaten safety, legal compliance, worship continuity, assets, or constitutional order.</w:t>
      </w:r>
    </w:p>
    <w:p>
      <w:pPr>
        <w:pStyle w:val="Heading1"/>
      </w:pPr>
      <w:r>
        <w:t>Article IV — Agenda and Docket</w:t>
      </w:r>
    </w:p>
    <w:p>
      <w:r>
        <w:t>Each meeting should use an agenda distinguishing information, deliberation, decision, executive/confidential session, and matters carried over. Late-added major business requires explicit procedural justification.</w:t>
      </w:r>
    </w:p>
    <w:p>
      <w:pPr>
        <w:pStyle w:val="Heading1"/>
      </w:pPr>
      <w:r>
        <w:t>Article V — Quorum</w:t>
      </w:r>
    </w:p>
    <w:p>
      <w:r>
        <w:t>Quorum is determined by the applicable charter or constitution. Persons disqualified from a matter by conflict may affect voting eligibility but do not automatically alter the body’s constitutional composition unless the governing instrument provides otherwise.</w:t>
      </w:r>
    </w:p>
    <w:p>
      <w:pPr>
        <w:pStyle w:val="Heading1"/>
      </w:pPr>
      <w:r>
        <w:t>Article VI — Deliberation</w:t>
      </w:r>
    </w:p>
    <w:p>
      <w:pPr>
        <w:pStyle w:val="ListBullet"/>
      </w:pPr>
      <w:r>
        <w:t>seek understanding before final vote</w:t>
      </w:r>
    </w:p>
    <w:p>
      <w:pPr>
        <w:pStyle w:val="ListBullet"/>
      </w:pPr>
      <w:r>
        <w:t>permit relevant minority views</w:t>
      </w:r>
    </w:p>
    <w:p>
      <w:pPr>
        <w:pStyle w:val="ListBullet"/>
      </w:pPr>
      <w:r>
        <w:t>avoid domination by chair or founder</w:t>
      </w:r>
    </w:p>
    <w:p>
      <w:pPr>
        <w:pStyle w:val="ListBullet"/>
      </w:pPr>
      <w:r>
        <w:t>distinguish factual dispute from value/doctrinal dispute</w:t>
      </w:r>
    </w:p>
    <w:p>
      <w:pPr>
        <w:pStyle w:val="ListBullet"/>
      </w:pPr>
      <w:r>
        <w:t>allow written submissions for complex matters</w:t>
      </w:r>
    </w:p>
    <w:p>
      <w:pPr>
        <w:pStyle w:val="ListBullet"/>
      </w:pPr>
      <w:r>
        <w:t>record material alternatives for Class D/E decisions</w:t>
      </w:r>
    </w:p>
    <w:p>
      <w:pPr>
        <w:pStyle w:val="Heading1"/>
      </w:pPr>
      <w:r>
        <w:t>Article VII — Motions, Consensus, and Voting</w:t>
      </w:r>
    </w:p>
    <w:p>
      <w:r>
        <w:t>The organization may use discernment and consensus-seeking before voting. When a decision is required, the applicable threshold controls. Silence shall not be treated as consent where affirmative approval is required.</w:t>
      </w:r>
    </w:p>
    <w:p>
      <w:pPr>
        <w:pStyle w:val="Heading1"/>
      </w:pPr>
      <w:r>
        <w:t>Article VIII — Written Consent and Remote Participation</w:t>
      </w:r>
    </w:p>
    <w:p>
      <w:r>
        <w:t>Written consent and remote participation are permitted only where the governing instrument and applicable law allow them. Identity, access, vote integrity, confidentiality, and record preservation must be reasonably reliable.</w:t>
      </w:r>
    </w:p>
    <w:p>
      <w:pPr>
        <w:pStyle w:val="Heading1"/>
      </w:pPr>
      <w:r>
        <w:t>Article IX — Conflicts and Recusal</w:t>
      </w:r>
    </w:p>
    <w:p>
      <w:pPr>
        <w:pStyle w:val="ListNumber"/>
      </w:pPr>
      <w:r>
        <w:t>Disclose material conflict promptly.</w:t>
      </w:r>
    </w:p>
    <w:p>
      <w:pPr>
        <w:pStyle w:val="ListNumber"/>
      </w:pPr>
      <w:r>
        <w:t>Determine whether recusal is required.</w:t>
      </w:r>
    </w:p>
    <w:p>
      <w:pPr>
        <w:pStyle w:val="ListNumber"/>
      </w:pPr>
      <w:r>
        <w:t>Record the disclosure and determination.</w:t>
      </w:r>
    </w:p>
    <w:p>
      <w:pPr>
        <w:pStyle w:val="ListNumber"/>
      </w:pPr>
      <w:r>
        <w:t>Exclude the conflicted person from deliberation and vote when required.</w:t>
      </w:r>
    </w:p>
    <w:p>
      <w:pPr>
        <w:pStyle w:val="ListNumber"/>
      </w:pPr>
      <w:r>
        <w:t>Use an independent decision-maker for disputes over recusal where the governing corpus provides one.</w:t>
      </w:r>
    </w:p>
    <w:p>
      <w:pPr>
        <w:pStyle w:val="Heading1"/>
      </w:pPr>
      <w:r>
        <w:t>Article X — Minutes and Decision Records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Element</w:t>
            </w:r>
          </w:p>
        </w:tc>
        <w:tc>
          <w:tcPr>
            <w:tcW w:type="dxa" w:w="5040"/>
            <w:shd w:fill="D9EAF7"/>
            <w:vAlign w:val="center"/>
          </w:tcPr>
          <w:p>
            <w:r>
              <w:t>Required for Major Decisions</w:t>
            </w:r>
          </w:p>
        </w:tc>
      </w:tr>
      <w:tr>
        <w:tc>
          <w:tcPr>
            <w:tcW w:type="dxa" w:w="5040"/>
          </w:tcPr>
          <w:p>
            <w:r>
              <w:t>body/date</w:t>
            </w:r>
          </w:p>
        </w:tc>
        <w:tc>
          <w:tcPr>
            <w:tcW w:type="dxa" w:w="5040"/>
          </w:tcPr>
          <w:p>
            <w:r>
              <w:t>Yes</w:t>
            </w:r>
          </w:p>
        </w:tc>
      </w:tr>
      <w:tr>
        <w:tc>
          <w:tcPr>
            <w:tcW w:type="dxa" w:w="5040"/>
          </w:tcPr>
          <w:p>
            <w:r>
              <w:t>participants/quorum</w:t>
            </w:r>
          </w:p>
        </w:tc>
        <w:tc>
          <w:tcPr>
            <w:tcW w:type="dxa" w:w="5040"/>
          </w:tcPr>
          <w:p>
            <w:r>
              <w:t>Yes</w:t>
            </w:r>
          </w:p>
        </w:tc>
      </w:tr>
      <w:tr>
        <w:tc>
          <w:tcPr>
            <w:tcW w:type="dxa" w:w="5040"/>
          </w:tcPr>
          <w:p>
            <w:r>
              <w:t>conflicts/recusals</w:t>
            </w:r>
          </w:p>
        </w:tc>
        <w:tc>
          <w:tcPr>
            <w:tcW w:type="dxa" w:w="5040"/>
          </w:tcPr>
          <w:p>
            <w:r>
              <w:t>Yes</w:t>
            </w:r>
          </w:p>
        </w:tc>
      </w:tr>
      <w:tr>
        <w:tc>
          <w:tcPr>
            <w:tcW w:type="dxa" w:w="5040"/>
          </w:tcPr>
          <w:p>
            <w:r>
              <w:t>motion/question</w:t>
            </w:r>
          </w:p>
        </w:tc>
        <w:tc>
          <w:tcPr>
            <w:tcW w:type="dxa" w:w="5040"/>
          </w:tcPr>
          <w:p>
            <w:r>
              <w:t>Yes</w:t>
            </w:r>
          </w:p>
        </w:tc>
      </w:tr>
      <w:tr>
        <w:tc>
          <w:tcPr>
            <w:tcW w:type="dxa" w:w="5040"/>
          </w:tcPr>
          <w:p>
            <w:r>
              <w:t>material evidence/briefing</w:t>
            </w:r>
          </w:p>
        </w:tc>
        <w:tc>
          <w:tcPr>
            <w:tcW w:type="dxa" w:w="5040"/>
          </w:tcPr>
          <w:p>
            <w:r>
              <w:t>Summary</w:t>
            </w:r>
          </w:p>
        </w:tc>
      </w:tr>
      <w:tr>
        <w:tc>
          <w:tcPr>
            <w:tcW w:type="dxa" w:w="5040"/>
          </w:tcPr>
          <w:p>
            <w:r>
              <w:t>vote/threshold</w:t>
            </w:r>
          </w:p>
        </w:tc>
        <w:tc>
          <w:tcPr>
            <w:tcW w:type="dxa" w:w="5040"/>
          </w:tcPr>
          <w:p>
            <w:r>
              <w:t>Yes</w:t>
            </w:r>
          </w:p>
        </w:tc>
      </w:tr>
      <w:tr>
        <w:tc>
          <w:tcPr>
            <w:tcW w:type="dxa" w:w="5040"/>
          </w:tcPr>
          <w:p>
            <w:r>
              <w:t>required concurrence</w:t>
            </w:r>
          </w:p>
        </w:tc>
        <w:tc>
          <w:tcPr>
            <w:tcW w:type="dxa" w:w="5040"/>
          </w:tcPr>
          <w:p>
            <w:r>
              <w:t>Yes</w:t>
            </w:r>
          </w:p>
        </w:tc>
      </w:tr>
      <w:tr>
        <w:tc>
          <w:tcPr>
            <w:tcW w:type="dxa" w:w="5040"/>
          </w:tcPr>
          <w:p>
            <w:r>
              <w:t>reasons</w:t>
            </w:r>
          </w:p>
        </w:tc>
        <w:tc>
          <w:tcPr>
            <w:tcW w:type="dxa" w:w="5040"/>
          </w:tcPr>
          <w:p>
            <w:r>
              <w:t>Class D/E; otherwise as appropriate</w:t>
            </w:r>
          </w:p>
        </w:tc>
      </w:tr>
      <w:tr>
        <w:tc>
          <w:tcPr>
            <w:tcW w:type="dxa" w:w="5040"/>
          </w:tcPr>
          <w:p>
            <w:r>
              <w:t>effective date</w:t>
            </w:r>
          </w:p>
        </w:tc>
        <w:tc>
          <w:tcPr>
            <w:tcW w:type="dxa" w:w="5040"/>
          </w:tcPr>
          <w:p>
            <w:r>
              <w:t>Yes</w:t>
            </w:r>
          </w:p>
        </w:tc>
      </w:tr>
      <w:tr>
        <w:tc>
          <w:tcPr>
            <w:tcW w:type="dxa" w:w="5040"/>
          </w:tcPr>
          <w:p>
            <w:r>
              <w:t>record custodian</w:t>
            </w:r>
          </w:p>
        </w:tc>
        <w:tc>
          <w:tcPr>
            <w:tcW w:type="dxa" w:w="5040"/>
          </w:tcPr>
          <w:p>
            <w:r>
              <w:t>Yes</w:t>
            </w:r>
          </w:p>
        </w:tc>
      </w:tr>
    </w:tbl>
    <w:p>
      <w:pPr>
        <w:pStyle w:val="Heading1"/>
      </w:pPr>
      <w:r>
        <w:t>Article XI — Executive/Confidential Sessions</w:t>
      </w:r>
    </w:p>
    <w:p>
      <w:r>
        <w:t>Confidential sessions may protect pastoral privacy, discipline, safeguarding, litigation, personnel, credentials, or sensitive negotiations. Confidentiality shall not be used to conceal final institutional action that should be recorded or to obstruct lawful reporting.</w:t>
      </w:r>
    </w:p>
    <w:p>
      <w:pPr>
        <w:pStyle w:val="Heading1"/>
      </w:pPr>
      <w:r>
        <w:t>Article XII — Emergency Governance</w:t>
      </w:r>
    </w:p>
    <w:p>
      <w:pPr>
        <w:pStyle w:val="ListBullet"/>
      </w:pPr>
      <w:r>
        <w:t>emergency declaration must state reason, scope, powers, and expiration</w:t>
      </w:r>
    </w:p>
    <w:p>
      <w:pPr>
        <w:pStyle w:val="ListBullet"/>
      </w:pPr>
      <w:r>
        <w:t>no emergency may permanently amend Entrenched provisions</w:t>
      </w:r>
    </w:p>
    <w:p>
      <w:pPr>
        <w:pStyle w:val="ListBullet"/>
      </w:pPr>
      <w:r>
        <w:t>retrospective review required</w:t>
      </w:r>
    </w:p>
    <w:p>
      <w:pPr>
        <w:pStyle w:val="ListBullet"/>
      </w:pPr>
      <w:r>
        <w:t>records must be preserved</w:t>
      </w:r>
    </w:p>
    <w:p>
      <w:pPr>
        <w:pStyle w:val="ListBullet"/>
      </w:pPr>
      <w:r>
        <w:t>ordinary governance shall resume as soon as practicable</w:t>
      </w:r>
    </w:p>
    <w:p>
      <w:pPr>
        <w:pStyle w:val="Heading1"/>
      </w:pPr>
      <w:r>
        <w:t>Article XIII — Validity Review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Defect</w:t>
            </w:r>
          </w:p>
        </w:tc>
        <w:tc>
          <w:tcPr>
            <w:tcW w:type="dxa" w:w="5040"/>
            <w:shd w:fill="D9EAF7"/>
            <w:vAlign w:val="center"/>
          </w:tcPr>
          <w:p>
            <w:r>
              <w:t>Typical Effect</w:t>
            </w:r>
          </w:p>
        </w:tc>
      </w:tr>
      <w:tr>
        <w:tc>
          <w:tcPr>
            <w:tcW w:type="dxa" w:w="5040"/>
          </w:tcPr>
          <w:p>
            <w:r>
              <w:t>No jurisdiction</w:t>
            </w:r>
          </w:p>
        </w:tc>
        <w:tc>
          <w:tcPr>
            <w:tcW w:type="dxa" w:w="5040"/>
          </w:tcPr>
          <w:p>
            <w:r>
              <w:t>Void</w:t>
            </w:r>
          </w:p>
        </w:tc>
      </w:tr>
      <w:tr>
        <w:tc>
          <w:tcPr>
            <w:tcW w:type="dxa" w:w="5040"/>
          </w:tcPr>
          <w:p>
            <w:r>
              <w:t>Required concurrence absent</w:t>
            </w:r>
          </w:p>
        </w:tc>
        <w:tc>
          <w:tcPr>
            <w:tcW w:type="dxa" w:w="5040"/>
          </w:tcPr>
          <w:p>
            <w:r>
              <w:t>Void unless validly cured where constitution permits</w:t>
            </w:r>
          </w:p>
        </w:tc>
      </w:tr>
      <w:tr>
        <w:tc>
          <w:tcPr>
            <w:tcW w:type="dxa" w:w="5040"/>
          </w:tcPr>
          <w:p>
            <w:r>
              <w:t>Disqualifying conflict</w:t>
            </w:r>
          </w:p>
        </w:tc>
        <w:tc>
          <w:tcPr>
            <w:tcW w:type="dxa" w:w="5040"/>
          </w:tcPr>
          <w:p>
            <w:r>
              <w:t>Voidable or void depending on materiality</w:t>
            </w:r>
          </w:p>
        </w:tc>
      </w:tr>
      <w:tr>
        <w:tc>
          <w:tcPr>
            <w:tcW w:type="dxa" w:w="5040"/>
          </w:tcPr>
          <w:p>
            <w:r>
              <w:t>Minor notice/record defect</w:t>
            </w:r>
          </w:p>
        </w:tc>
        <w:tc>
          <w:tcPr>
            <w:tcW w:type="dxa" w:w="5040"/>
          </w:tcPr>
          <w:p>
            <w:r>
              <w:t>Curable if no material prejudice</w:t>
            </w:r>
          </w:p>
        </w:tc>
      </w:tr>
      <w:tr>
        <w:tc>
          <w:tcPr>
            <w:tcW w:type="dxa" w:w="5040"/>
          </w:tcPr>
          <w:p>
            <w:r>
              <w:t>Wrong threshold</w:t>
            </w:r>
          </w:p>
        </w:tc>
        <w:tc>
          <w:tcPr>
            <w:tcW w:type="dxa" w:w="5040"/>
          </w:tcPr>
          <w:p>
            <w:r>
              <w:t>Invalid until properly approved</w:t>
            </w:r>
          </w:p>
        </w:tc>
      </w:tr>
      <w:tr>
        <w:tc>
          <w:tcPr>
            <w:tcW w:type="dxa" w:w="5040"/>
          </w:tcPr>
          <w:p>
            <w:r>
              <w:t>Clerical mistake</w:t>
            </w:r>
          </w:p>
        </w:tc>
        <w:tc>
          <w:tcPr>
            <w:tcW w:type="dxa" w:w="5040"/>
          </w:tcPr>
          <w:p>
            <w:r>
              <w:t>Correctable by certified amendment to record</w:t>
            </w:r>
          </w:p>
        </w:tc>
      </w:tr>
    </w:tbl>
    <w:p>
      <w:pPr>
        <w:pStyle w:val="Heading1"/>
      </w:pPr>
      <w:r>
        <w:t>Article XIV — Reconsideration, Appeals, and Constitutional Review</w:t>
      </w:r>
    </w:p>
    <w:p>
      <w:r>
        <w:t>Ordinary reconsideration, disciplinary appeal, credential appeal, constitutional review, and civil corporate review are distinct remedies. Filing one does not automatically transfer jurisdiction to another body.</w:t>
      </w:r>
    </w:p>
    <w:p>
      <w:pPr>
        <w:pStyle w:val="Heading1"/>
      </w:pPr>
      <w:r>
        <w:t>Article XV — Institutional Failure and Recovery</w:t>
      </w:r>
    </w:p>
    <w:p>
      <w:pPr>
        <w:pStyle w:val="ListNumber"/>
      </w:pPr>
      <w:r>
        <w:t>Identify which constitutional body cannot function and why.</w:t>
      </w:r>
    </w:p>
    <w:p>
      <w:pPr>
        <w:pStyle w:val="ListNumber"/>
      </w:pPr>
      <w:r>
        <w:t>Preserve records, safety, finances, worship, and legal obligations.</w:t>
      </w:r>
    </w:p>
    <w:p>
      <w:pPr>
        <w:pStyle w:val="ListNumber"/>
      </w:pPr>
      <w:r>
        <w:t>Use the narrowest temporary authority necessary.</w:t>
      </w:r>
    </w:p>
    <w:p>
      <w:pPr>
        <w:pStyle w:val="ListNumber"/>
      </w:pPr>
      <w:r>
        <w:t>Do not transfer all powers to a single remaining actor.</w:t>
      </w:r>
    </w:p>
    <w:p>
      <w:pPr>
        <w:pStyle w:val="ListNumber"/>
      </w:pPr>
      <w:r>
        <w:t>Constitute temporary independent reviewers where permanent bodies are unavailable.</w:t>
      </w:r>
    </w:p>
    <w:p>
      <w:pPr>
        <w:pStyle w:val="ListNumber"/>
      </w:pPr>
      <w:r>
        <w:t>Rebuild the disabled body according to constitutional selection rules.</w:t>
      </w:r>
    </w:p>
    <w:p>
      <w:pPr>
        <w:pStyle w:val="ListNumber"/>
      </w:pPr>
      <w:r>
        <w:t>Terminate temporary powers automatically upon restoration.</w:t>
      </w:r>
    </w:p>
    <w:p>
      <w:pPr>
        <w:pStyle w:val="ListNumber"/>
      </w:pPr>
      <w:r>
        <w:t>Document the recovery and lessons learned.</w:t>
      </w:r>
    </w:p>
    <w:p>
      <w:pPr>
        <w:pStyle w:val="Heading1"/>
      </w:pPr>
      <w:r>
        <w:t>Article XVI — Decision Register</w:t>
      </w:r>
    </w:p>
    <w:p>
      <w:r>
        <w:t>Class C, D, and E decisions shall be entered in a permanent governance decision register with identifier, authority, date, status, and supersession relationship.</w:t>
      </w:r>
    </w:p>
    <w:p>
      <w:pPr>
        <w:pStyle w:val="Heading1"/>
      </w:pPr>
      <w:r>
        <w:t>Article XVII — Standard Forms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Form</w:t>
            </w:r>
          </w:p>
        </w:tc>
        <w:tc>
          <w:tcPr>
            <w:tcW w:type="dxa" w:w="5040"/>
            <w:shd w:fill="D9EAF7"/>
            <w:vAlign w:val="center"/>
          </w:tcPr>
          <w:p>
            <w:r>
              <w:t>ID</w:t>
            </w:r>
          </w:p>
        </w:tc>
      </w:tr>
      <w:tr>
        <w:tc>
          <w:tcPr>
            <w:tcW w:type="dxa" w:w="5040"/>
          </w:tcPr>
          <w:p>
            <w:r>
              <w:t>Meeting notice</w:t>
            </w:r>
          </w:p>
        </w:tc>
        <w:tc>
          <w:tcPr>
            <w:tcW w:type="dxa" w:w="5040"/>
          </w:tcPr>
          <w:p>
            <w:r>
              <w:t>GOV-NOT-001</w:t>
            </w:r>
          </w:p>
        </w:tc>
      </w:tr>
      <w:tr>
        <w:tc>
          <w:tcPr>
            <w:tcW w:type="dxa" w:w="5040"/>
          </w:tcPr>
          <w:p>
            <w:r>
              <w:t>Agenda</w:t>
            </w:r>
          </w:p>
        </w:tc>
        <w:tc>
          <w:tcPr>
            <w:tcW w:type="dxa" w:w="5040"/>
          </w:tcPr>
          <w:p>
            <w:r>
              <w:t>GOV-AGD-001</w:t>
            </w:r>
          </w:p>
        </w:tc>
      </w:tr>
      <w:tr>
        <w:tc>
          <w:tcPr>
            <w:tcW w:type="dxa" w:w="5040"/>
          </w:tcPr>
          <w:p>
            <w:r>
              <w:t>Conflict/recusal record</w:t>
            </w:r>
          </w:p>
        </w:tc>
        <w:tc>
          <w:tcPr>
            <w:tcW w:type="dxa" w:w="5040"/>
          </w:tcPr>
          <w:p>
            <w:r>
              <w:t>GOV-REC-001</w:t>
            </w:r>
          </w:p>
        </w:tc>
      </w:tr>
      <w:tr>
        <w:tc>
          <w:tcPr>
            <w:tcW w:type="dxa" w:w="5040"/>
          </w:tcPr>
          <w:p>
            <w:r>
              <w:t>Decision/resolution</w:t>
            </w:r>
          </w:p>
        </w:tc>
        <w:tc>
          <w:tcPr>
            <w:tcW w:type="dxa" w:w="5040"/>
          </w:tcPr>
          <w:p>
            <w:r>
              <w:t>GOV-DEC-001</w:t>
            </w:r>
          </w:p>
        </w:tc>
      </w:tr>
      <w:tr>
        <w:tc>
          <w:tcPr>
            <w:tcW w:type="dxa" w:w="5040"/>
          </w:tcPr>
          <w:p>
            <w:r>
              <w:t>Emergency declaration</w:t>
            </w:r>
          </w:p>
        </w:tc>
        <w:tc>
          <w:tcPr>
            <w:tcW w:type="dxa" w:w="5040"/>
          </w:tcPr>
          <w:p>
            <w:r>
              <w:t>GOV-EMG-001</w:t>
            </w:r>
          </w:p>
        </w:tc>
      </w:tr>
      <w:tr>
        <w:tc>
          <w:tcPr>
            <w:tcW w:type="dxa" w:w="5040"/>
          </w:tcPr>
          <w:p>
            <w:r>
              <w:t>Validity review</w:t>
            </w:r>
          </w:p>
        </w:tc>
        <w:tc>
          <w:tcPr>
            <w:tcW w:type="dxa" w:w="5040"/>
          </w:tcPr>
          <w:p>
            <w:r>
              <w:t>GOV-VAL-001</w:t>
            </w:r>
          </w:p>
        </w:tc>
      </w:tr>
      <w:tr>
        <w:tc>
          <w:tcPr>
            <w:tcW w:type="dxa" w:w="5040"/>
          </w:tcPr>
          <w:p>
            <w:r>
              <w:t>Institutional recovery plan</w:t>
            </w:r>
          </w:p>
        </w:tc>
        <w:tc>
          <w:tcPr>
            <w:tcW w:type="dxa" w:w="5040"/>
          </w:tcPr>
          <w:p>
            <w:r>
              <w:t>GOV-RECOV-001</w:t>
            </w:r>
          </w:p>
        </w:tc>
      </w:tr>
    </w:tbl>
    <w:p>
      <w:pPr>
        <w:pStyle w:val="Heading1"/>
      </w:pPr>
      <w:r>
        <w:t>Adoption and Certification</w:t>
      </w:r>
    </w:p>
    <w:p>
      <w:r>
        <w:t>This instrument becomes effective only upon valid adoption by the competent authority under the governing corpus. A draft, training copy, or operational template does not acquire binding force merely because it exists.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Field</w:t>
            </w:r>
          </w:p>
        </w:tc>
        <w:tc>
          <w:tcPr>
            <w:tcW w:type="dxa" w:w="5040"/>
            <w:shd w:fill="D9EAF7"/>
            <w:vAlign w:val="center"/>
          </w:tcPr>
          <w:p>
            <w:r>
              <w:t>Entry</w:t>
            </w:r>
          </w:p>
        </w:tc>
      </w:tr>
      <w:tr>
        <w:tc>
          <w:tcPr>
            <w:tcW w:type="dxa" w:w="5040"/>
          </w:tcPr>
          <w:p>
            <w:r>
              <w:t>Organization</w:t>
            </w:r>
          </w:p>
        </w:tc>
        <w:tc>
          <w:tcPr>
            <w:tcW w:type="dxa" w:w="5040"/>
          </w:tcPr>
          <w:p>
            <w:r>
              <w:t>[[CORP_NAME]]</w:t>
            </w:r>
          </w:p>
        </w:tc>
      </w:tr>
      <w:tr>
        <w:tc>
          <w:tcPr>
            <w:tcW w:type="dxa" w:w="5040"/>
          </w:tcPr>
          <w:p>
            <w:r>
              <w:t>Version</w:t>
            </w:r>
          </w:p>
        </w:tc>
        <w:tc>
          <w:tcPr>
            <w:tcW w:type="dxa" w:w="5040"/>
          </w:tcPr>
          <w:p>
            <w:r>
              <w:t>0.1.0</w:t>
            </w:r>
          </w:p>
        </w:tc>
      </w:tr>
      <w:tr>
        <w:tc>
          <w:tcPr>
            <w:tcW w:type="dxa" w:w="5040"/>
          </w:tcPr>
          <w:p>
            <w:r>
              <w:t>Date of Adoption</w:t>
            </w:r>
          </w:p>
        </w:tc>
        <w:tc>
          <w:tcPr>
            <w:tcW w:type="dxa" w:w="5040"/>
          </w:tcPr>
          <w:p>
            <w:r>
              <w:t>[[DATE]]</w:t>
            </w:r>
          </w:p>
        </w:tc>
      </w:tr>
      <w:tr>
        <w:tc>
          <w:tcPr>
            <w:tcW w:type="dxa" w:w="5040"/>
          </w:tcPr>
          <w:p>
            <w:r>
              <w:t>Adopting Authority</w:t>
            </w:r>
          </w:p>
        </w:tc>
        <w:tc>
          <w:tcPr>
            <w:tcW w:type="dxa" w:w="5040"/>
          </w:tcPr>
          <w:p>
            <w:r>
              <w:t>[[ADOPTING_AUTHORITY]]</w:t>
            </w:r>
          </w:p>
        </w:tc>
      </w:tr>
      <w:tr>
        <w:tc>
          <w:tcPr>
            <w:tcW w:type="dxa" w:w="5040"/>
          </w:tcPr>
          <w:p>
            <w:r>
              <w:t>Ecclesiastical Approval</w:t>
            </w:r>
          </w:p>
        </w:tc>
        <w:tc>
          <w:tcPr>
            <w:tcW w:type="dxa" w:w="5040"/>
          </w:tcPr>
          <w:p>
            <w:r>
              <w:t>[[ECCLESIASTICAL_APPROVAL_RECORD]]</w:t>
            </w:r>
          </w:p>
        </w:tc>
      </w:tr>
      <w:tr>
        <w:tc>
          <w:tcPr>
            <w:tcW w:type="dxa" w:w="5040"/>
          </w:tcPr>
          <w:p>
            <w:r>
              <w:t>Civil Board Action, if required</w:t>
            </w:r>
          </w:p>
        </w:tc>
        <w:tc>
          <w:tcPr>
            <w:tcW w:type="dxa" w:w="5040"/>
          </w:tcPr>
          <w:p>
            <w:r>
              <w:t>[[BOARD_ACTION / N/A]]</w:t>
            </w:r>
          </w:p>
        </w:tc>
      </w:tr>
    </w:tbl>
    <w:p>
      <w:r>
        <w:t>Certification</w:t>
      </w:r>
    </w:p>
    <w:p>
      <w:r>
        <w:t>I certify that the foregoing instrument was duly adopted or approved as stated above and remains in force except as subsequently amended through valid process.</w:t>
      </w:r>
    </w:p>
    <w:p>
      <w:r>
        <w:t>________________________________________</w:t>
      </w:r>
    </w:p>
    <w:p>
      <w:r>
        <w:t>[[NAME / OFFICE]]</w:t>
      </w:r>
    </w:p>
    <w:p>
      <w:r>
        <w:t>[[DATE]]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GOV-PROC-001 | [[CORP_NAME]]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